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E75B3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bookmarkStart w:id="0" w:name="_GoBack"/>
      <w:bookmarkEnd w:id="0"/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2533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AE75B3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85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835"/>
        <w:gridCol w:w="992"/>
        <w:gridCol w:w="850"/>
        <w:gridCol w:w="1276"/>
        <w:gridCol w:w="1286"/>
      </w:tblGrid>
      <w:tr w:rsidR="00EB1FFA" w:rsidRPr="003E33CE" w:rsidTr="008463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2835" w:type="dxa"/>
            <w:vAlign w:val="center"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Ед.изм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207F31" w:rsidRPr="003E33CE" w:rsidTr="00933C83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7F31" w:rsidRPr="003E33CE" w:rsidRDefault="00207F31" w:rsidP="0020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31" w:rsidRPr="003E33CE" w:rsidRDefault="00207F31" w:rsidP="00207F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для химиоэмболизации печени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31" w:rsidRPr="003E33CE" w:rsidRDefault="00207F31" w:rsidP="00207F3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Микросферы, нагружаемые для химиоэмболизации печёночной артерии, изготовлены из биосовместимого гидрогеля, содержащего полиэтиленгликоль 10к акриламид, модифицированный сульфонатными группами для контролируемого введения и доставки химиотерапевтических препаратов. Загрузка микросфер, нагружаемых для химиоэмболизации печёночной артерии, возможна следующими химиотерапевтическими препаратами: доксорубицином, иринотеканом, эпирубицином, идарубицином. Время подготовки раствора от 30 минут. Микросферы, нагружаемые для химиоэмболизации печёночной артерии, в состоянии выдерживать временное сжатие на 20-30%, что обеспечивает прохождение через доставляющий катетер. Предоставлены в нескольких диаметрах 100, 200, 400 мкм, окрашены в зеленый цвет. Микросферы, нагружаемые для химиоэмболизации печёночной артерии, поставляются в шприце объемом 20 мл, предварительно заполненном 2 мл продукта, суспендированного в апирогенном стерильном солевом физиологическом транспортном растворе. Суммарный объем солевого физиологического раствора и микросфер, нагружаемых для химиоэмболизации печёночной артерии, составляет примерно 6 мл. Предварительно заполненные шприцы с микросферами, нагружаемыми для химиоэмболизации печёночной артерии, упакованы в стерильный запечатанный лоток с отделяемой крышкой. Микросферы, нагружаемые для химиоэмболизации печёночной артерии, предназначены для активного поглощения лекарств своей матрицей: 37,5 мг доксорубицина на 1 мл микросфер, 5 мг идарубицина на 1 мл микросфер, 25 мг эпирубицина на 1 мл микросфер, 50,0 мг иринотекана на 1 мл микросфер. Новая формула Полиэтиленгликоля (ПЭГ) делает микросферы устойчивыми к давлению и трению. Гидрофильный материал увеличивает сжимаемость, эластичность и доставляемость в катетере. Негативно-заряженные сульфатные группы специально модифицированы для загрузки и выделения лекарственных препаратов. Улучшенная сжимаемость, аккуратная и эффективная окклюзия с уменьшением риском нецелевой эмболизации. Загруженные лекарственным препаратом микросферы дольге остаются в состоянии суспензии.  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2) Микрокатетер с микропроводником в комплекте (по коаксиальным микрокатетерам). суперселективные гидрофильные рентгенконтрастные микрокатетеры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которая способствует продвижению катетера в целевые сосуды. Структура шафта катетера состоит из 3-х слоев: внутренний слой из тефлона; средний слой: вольфрамовая рентгенконтрастная спираль; внешний слой: полиэстер эластомер с полимерным покрытием. Доступны катетеры с одной или двумя дистальными рентгенконтрастными метками (материал меток - Pt/Ir) по 7 мм каждый.  Длина коаксиального/не коаксиального миикрокатетера: 110 см., 130 см., 150 см. Максимальное давление катетеров: 750 psi (5171 kPa); 900 psi (6205 kPa).  Внешний диаметр для коаксиальных микрокатетеров: 2.4 Fr (0.80 мм), 2.7 Fr (0.90 мм), 2.8 Fr (0.93 мм). Внутренний диаметр для коаксиальных микрокатетеров: 0.022 (0.57 мм), 0.025 (0.65 мм), 0.027 (0.70 мм). Внешний диаметр для не коаксиальных микрокатетеров: 2.0 Fr (0.67 мм), 2.4 Fr (0.80 мм), 2.7 Fr (0.90 мм), 2.8 Fr (0.93 мм). Внутренний диаметр для не коаксиальных микрокатетеров: 0.019 (0.49 мм), 0.022 (0.57 мм), 0.025 (0.65 мм), 0.027 (0.70 мм). Дистальный кончик: прямой, угловой 90 градусов. Диаметры микропроводника (для коаксиальных версий): 0.018" (0.46 мм), 0.021" (0.53 мм). Длина микропроводника (для коаксиальных версий): 120 см; 140 см. Выступающая часть микропроводника микрокатетера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 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3) Катетер ангиографический: размерами (Fr/мм)- 4/1.40; 5/1.70; длиной (см)- 40; 65; 70; 80; 100; 110; 120, 150 Тонкая гибкая трубка, предназначенная для впрыскивания контрастного вещества в некоторые кровеносные сосуды головной, 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Супермягкий гидрофильный катетер вводится подкожно и оснащен рентгенококнтрастными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трансвальвулярного, внутрисосудистого и внутрижелудочкового давления. Это одноразовое устройство. Катетер предназначен для использования в ангиографических процедурах. Катетер подает рентгеноконтрастные вещества и терапевтические агенты в отдельные участки в сосудистой системе. Он также используется для доставки направляющего проводника или катетера к месту целевого назначения. Внешний диаметр: 4Fr (1.40 мм), 5Fr (1.70 мм), 4Fr (1.40 мм). Внутренний диаметр: 0.041 (1.03 мм),: 0.043 (1.1 мм). Максимальное давление впрыска: 5171 kPa (750 psi), 6895 kPa (1000 psi), 5171 kPa (750 psi).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4) Интродьюсер предназначается для чрескожного введения в сосуд для облегчения процедуры вмешательства в целом. Уникальный гемостатический клапан поддерживает необычайно высокий уровень гемостаза, что позволяет избегать кровотечений и аспирации воздуха. Плавный переход «шафт-дилятатор» и оптимальная конусообразная конструкция дилятатора позволяют уменьшить сопротивление проколу. Чрезвычайно тонкая рентгеноконтрастная стенка с муфтой для предотвращения перекручивания, обеспечивающая превосходное управление катетером. Дилятатор с защелкой, предотвращающей смещение дилятатора при введении и позволяющей осуществлять удаление дилататора одной рукой. Интродьюсер феморальный. Возможность выбора диаметра 5, 6, 7, 8, 9, 10 Fr.  Возможность выбора длины интродьюсеров длиной 10 см.  Возможность выбора интродьюсеров с ренгенконтрастной меткой. Возможность выбора цветовой кодировки диаметра интродьюсера.  Возможность выбора двухслойной стенки, с внешним слоем из этилен-тетра-фтор-этилена.  Возможность выбора в комплекте дилятатора, гемостатического клапана.  Наличие защитного механизма на дилятаторе, препятствующего самопроизвольному открытию. Возможность выбора интродьюсеров с гидрофильным покрытием.  Наличие интродьюсеров с иглой в комплекте 20 G x 32 mm, 20 G x 51 mm, 18 G x 64 mm, 18 G x 70mm. Наличие возможности выбора комплекта интродьюсера с металлической иглой или иглой-катетером.  Возможность выбора педиатрических наборов.  Наличие выбора длин минипроводника 45см, 80см. Наличие выбора диаметра мини проводника: 0,018", 0,021", 0,025", 0,035", 0,038". Цветовая кодировка по размерам. Выбор цветовой кодировки диаметра интродьюсера.</w:t>
            </w: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5) Проводники M являются нитиноловыми гидрофильными микропроводниками, покрытыми полиуретаном и гидрофильным покрытием для периферических и церебральных вмешательств, обладающие улучшенной навигацией в дистальных и извитых сосудах. Внешний диаметр: 0,018, 0,020, 0,025, 0,032, 0,035, 0,038. Длины проводников (см.): 50, 80, 120, 150, 180, 220, 260, 300, 450. Длина дистального кончика (см.): 1, 3, 5, 8. Форма кончика: прямой, загнутый. Материал сердцевины: нитинол. Ренгенноконтрастная оболочка: полиуретановый слой с частичками вольфрама. Гидрофильное покрытие: полиэстер эластомер с полимерным покрытием. Предназначается для дистальной катетеризации, селективной и сверх-селективной эмболизации в небольших, дистальных и анатомически сложных периферических и нейрологических сосудистых системах. Сверхэластичный нитиноловый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 Полиуретановое рентгенконтрастное покрытие: гладкое покрытие для минимизации адгезии клеток крови к проводнику, плавная и атравматическая навигация. Включает вольфрам для улучшения видимости. Улучшенная видимость кончика при флуороскопии в связи с дистальной золотой спиралью. Малые диаметры и различные типы формы кончика: сверхселективный доступ к дистальным и извитым сосудам. Повышенная гибкость и атравматически суженный наконечник: повышает гибкость проводника, плавная и безопасная навигация через извитые и сложные системы сосудов. 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 Цельная 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31" w:rsidRPr="003E33CE" w:rsidRDefault="00207F31" w:rsidP="00207F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31" w:rsidRPr="003E33CE" w:rsidRDefault="00207F31" w:rsidP="00207F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31" w:rsidRPr="00207F31" w:rsidRDefault="00207F31" w:rsidP="00207F3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7F31">
              <w:rPr>
                <w:rFonts w:ascii="Times New Roman" w:hAnsi="Times New Roman" w:cs="Times New Roman"/>
                <w:sz w:val="18"/>
                <w:szCs w:val="18"/>
              </w:rPr>
              <w:t xml:space="preserve"> 1 080 000,00  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F31" w:rsidRPr="00207F31" w:rsidRDefault="00207F31" w:rsidP="00207F3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7F31">
              <w:rPr>
                <w:rFonts w:ascii="Times New Roman" w:hAnsi="Times New Roman" w:cs="Times New Roman"/>
                <w:sz w:val="18"/>
                <w:szCs w:val="18"/>
              </w:rPr>
              <w:t xml:space="preserve">32 400 000,00   </w:t>
            </w:r>
          </w:p>
        </w:tc>
      </w:tr>
      <w:tr w:rsidR="00EB1FFA" w:rsidRPr="003E33CE" w:rsidTr="0084635B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EB1FFA" w:rsidRPr="003E33CE" w:rsidRDefault="00EB1FFA" w:rsidP="0084635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3CE">
              <w:rPr>
                <w:rFonts w:ascii="Times New Roman" w:hAnsi="Times New Roman" w:cs="Times New Roman"/>
                <w:b/>
                <w:sz w:val="18"/>
                <w:szCs w:val="18"/>
              </w:rPr>
              <w:t>Выделено на закуп:</w:t>
            </w:r>
          </w:p>
        </w:tc>
        <w:tc>
          <w:tcPr>
            <w:tcW w:w="2835" w:type="dxa"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B1FFA" w:rsidRPr="003E33C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B1FFA" w:rsidRPr="003E33CE" w:rsidRDefault="00EB1FFA" w:rsidP="008463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FFA" w:rsidRPr="003E33CE" w:rsidRDefault="00207F31" w:rsidP="0084635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32 400 000</w:t>
            </w:r>
            <w:r w:rsidR="00EB1FFA" w:rsidRPr="003E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07F31">
        <w:rPr>
          <w:rFonts w:ascii="Times New Roman" w:hAnsi="Times New Roman" w:cs="Times New Roman"/>
        </w:rPr>
        <w:t>32 400 000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207F31">
        <w:rPr>
          <w:rFonts w:ascii="Times New Roman" w:hAnsi="Times New Roman" w:cs="Times New Roman"/>
        </w:rPr>
        <w:t>тридцать два миллиона четыреста</w:t>
      </w:r>
      <w:r w:rsidR="00A842AC">
        <w:rPr>
          <w:rFonts w:ascii="Times New Roman" w:hAnsi="Times New Roman" w:cs="Times New Roman"/>
        </w:rPr>
        <w:t xml:space="preserve"> </w:t>
      </w:r>
      <w:r w:rsidR="00207F31">
        <w:rPr>
          <w:rFonts w:ascii="Times New Roman" w:hAnsi="Times New Roman" w:cs="Times New Roman"/>
        </w:rPr>
        <w:t xml:space="preserve">тысяч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07F31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EF093D">
        <w:rPr>
          <w:rFonts w:ascii="Times New Roman" w:hAnsi="Times New Roman" w:cs="Times New Roman"/>
        </w:rPr>
        <w:t>0</w:t>
      </w:r>
      <w:r w:rsidR="00207F31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A53DE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56938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07F31">
        <w:rPr>
          <w:rFonts w:ascii="Times New Roman" w:hAnsi="Times New Roman" w:cs="Times New Roman"/>
          <w:u w:val="single"/>
        </w:rPr>
        <w:t>30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40156">
        <w:rPr>
          <w:rFonts w:ascii="Times New Roman" w:hAnsi="Times New Roman" w:cs="Times New Roman"/>
          <w:u w:val="single"/>
        </w:rPr>
        <w:t>января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07F31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07F31">
        <w:rPr>
          <w:rFonts w:ascii="Times New Roman" w:hAnsi="Times New Roman" w:cs="Times New Roman"/>
        </w:rPr>
        <w:t>30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40156">
        <w:rPr>
          <w:rFonts w:ascii="Times New Roman" w:hAnsi="Times New Roman" w:cs="Times New Roman"/>
        </w:rPr>
        <w:t>января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432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273</cp:revision>
  <cp:lastPrinted>2022-02-23T08:47:00Z</cp:lastPrinted>
  <dcterms:created xsi:type="dcterms:W3CDTF">2021-04-02T05:34:00Z</dcterms:created>
  <dcterms:modified xsi:type="dcterms:W3CDTF">2023-01-09T05:07:00Z</dcterms:modified>
</cp:coreProperties>
</file>