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F645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05D1F">
        <w:rPr>
          <w:rFonts w:ascii="Times New Roman" w:eastAsia="Times New Roman" w:hAnsi="Times New Roman" w:cs="Times New Roman"/>
          <w:b/>
          <w:bCs/>
          <w:lang w:val="en-US"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604F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05D1F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F645E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835"/>
        <w:gridCol w:w="992"/>
        <w:gridCol w:w="850"/>
        <w:gridCol w:w="1276"/>
        <w:gridCol w:w="1286"/>
      </w:tblGrid>
      <w:tr w:rsidR="00387DD3" w:rsidRPr="003E33CE" w:rsidTr="003E33CE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387DD3" w:rsidRPr="003E33CE" w:rsidRDefault="00387DD3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7DD3" w:rsidRPr="003E33CE" w:rsidRDefault="00387DD3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2835" w:type="dxa"/>
            <w:vAlign w:val="center"/>
          </w:tcPr>
          <w:p w:rsidR="00387DD3" w:rsidRPr="003E33CE" w:rsidRDefault="00387DD3" w:rsidP="00387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7DD3" w:rsidRPr="003E33CE" w:rsidRDefault="00387DD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Ед.изм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7DD3" w:rsidRPr="003E33CE" w:rsidRDefault="00387DD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7DD3" w:rsidRPr="003E33CE" w:rsidRDefault="00387DD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87DD3" w:rsidRPr="003E33CE" w:rsidRDefault="00387DD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E05D1F" w:rsidRPr="003E33CE" w:rsidTr="003E33CE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для химиоэмболизации печени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1F" w:rsidRPr="003E33CE" w:rsidRDefault="00E05D1F" w:rsidP="00E05D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 Микросферы, нагружаемые для химиоэмболизации печёночной артерии, изготовлены из биосовместимого гидрогеля, содержащего полиэтиленгликоль 10к акриламид, модифицированный сульфонатными группами для контролируемого введения и доставки химиотерапевтических препаратов. Загрузка микросфер, нагружаемых для химиоэмболизации печёночной артерии, возможна следующими химиотерапевтическими препаратами: доксорубицином, иринотеканом, эпирубицином, идарубицином. Время подготовки раствора от 30 минут. Микросферы, нагружаемые для химиоэмболизации печёночной артерии, в состоянии выдерживать временное сжатие на 20-30%, что обеспечивает прохождение через доставляющий катетер. Предоставлены в нескольких диаметрах 100, 200, 400 мкм, окрашены в зеленый цвет. Микросферы, нагружаемые для химиоэмболизации печёночной артерии, поставляются в шприце объемом 20 мл, предварительно заполненном 2 мл продукта, суспендированного в апирогенном стерильном солевом физиологическом транспортном растворе. Суммарный объем солевого физиологического раствора и микросфер, нагружаемых для химиоэмболизации печёночной артерии, составляет примерно 6 мл. Предварительно заполненные шприцы с микросферами, нагружаемыми для химиоэмболизации печёночной артерии, упакованы в стерильный запечатанный лоток с отделяемой 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крышкой. Микросферы, нагружаемые для химиоэмболизации печёночной артерии, предназначены для активного поглощения лекарств своей матрицей: 37,5 мг доксорубицина на 1 мл микросфер, 5 мг идарубицина на 1 мл микросфер, 25 мг эпирубицина на 1 мл микросфер, 50,0 мг иринотекана на 1 мл микросфер. Новая формула Полиэтиленгликоля (ПЭГ) делает микросферы устойчивыми к давлению и трению. Гидрофильный материал увеличивает сжимаемость, эластичность и доставляемость в катетере. Негативно-заряженные сульфатные группы специально модифицированы для загрузки и выделения лекарственных препаратов. Улучшенная сжимаемость, аккуратная и эффективная окклюзия с уменьшением риском нецелевой эмболизации. Загруженные лекарственным препаратом микросферы дольге остаются в состоянии суспензии.  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2) Микрокатетер с микропроводником в комплекте (по коаксиальным микрокатетерам). суперселективные гидрофильные рентгенконтрастные микрокатетеры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которая способствует продвижению катетера в целевые сосуды. Структура шафта катетера состоит из 3-х слоев: внутренний слой из тефлона; средний слой: вольфрамовая рентгенконтрастная спираль; 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внешний слой: полиэстер эластомер с полимерным покрытием. Доступны катетеры с одной или двумя дистальными рентгенконтрастными метками (материал меток - Pt/Ir) по 7 мм каждый.  Длина коаксиального/не коаксиального миикрокатетера: 110 см., 130 см., 150 см. Максимальное давление катетеров: 750 psi (5171 kPa); 900 psi (6205 kPa).  Внешний диаметр для коаксиальных микрокатетеров: 2.4 Fr (0.80 мм), 2.7 Fr (0.90 мм), 2.8 Fr (0.93 мм). Внутренний диаметр для коаксиальных микрокатетеров: 0.022 (0.57 мм), 0.025 (0.65 мм), 0.027 (0.70 мм). Внешний диаметр для не коаксиальных микрокатетеров: 2.0 Fr (0.67 мм), 2.4 Fr (0.80 мм), 2.7 Fr (0.90 мм), 2.8 Fr (0.93 мм). Внутренний диаметр для не коаксиальных микрокатетеров: 0.019 (0.49 мм), 0.022 (0.57 мм), 0.025 (0.65 мм), 0.027 (0.70 мм). Дистальный кончик: прямой, угловой 90 градусов. Диаметры микропроводника (для коаксиальных версий): 0.018" (0.46 мм), 0.021" (0.53 мм). Длина микропроводника (для коаксиальных версий): 120 см; 140 см. Выступающая часть микропроводника микрокатетера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 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3) Катетер ангиографический: размерами (Fr/мм)- 4/1.40; 5/1.70; длиной (см)- 40; 65; 70; 80; 100; 110; 120, 150 Тонкая гибкая трубка, предназначенная для впрыскивания контрастного вещества в некоторые кровеносные сосуды головной, 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Супермягкий гидрофильный катетер вводится подкожно и оснащен рентгенококнтрастными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трансвальвулярного, внутрисосудистого и внутрижелудочкового давления. Это одноразовое устройство. Катетер предназначен для использования в ангиографических процедурах. Катетер подает рентгеноконтрастные вещества и терапевтические агенты в отдельные участки в сосудистой системе. Он также используется для доставки направляющего проводника или катетера к месту целевого назначения. Внешний диаметр: 4Fr (1.40 мм), 5Fr (1.70 мм), 4Fr (1.40 мм). Внутренний диаметр: 0.041 (1.03 мм),: 0.043 (1.1 мм). Максимальное давление впрыска: 5171 kPa (750 psi), 6895 kPa (1000 psi), 5171 kPa (750 psi).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4) Интродьюсер предназначается для чрескожного введения в сосуд для облегчения процедуры вмешательства в целом. Уникальный гемостатический клапан поддерживает необычайно высокий уровень гемостаза, что позволяет избегать кровотечений и аспирации воздуха. Плавный переход «шафт-дилятатор» и оптимальная конусообразная конструкция дилятатора позволяют уменьшить сопротивление проколу. Чрезвычайно тонкая рентгеноконтрастная стенка с муфтой для предотвращения перекручивания, обеспечивающая превосходное управление катетером. Дилятатор с защелкой, предотвращающей смещение дилятатора при введении и позволяющей 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осуществлять удаление дилататора одной рукой. Интродьюсер феморальный. Возможность выбора диаметра 5, 6, 7, 8, 9, 10 Fr.  Возможность выбора длины интродьюсеров длиной 10 см.  Возможность выбора интродьюсеров с ренгенконтрастной меткой. Возможность выбора цветовой кодировки диаметра интродьюсера.  Возможность выбора двухслойной стенки, с внешним слоем из этилен-тетра-фтор-этилена.  Возможность выбора в комплекте дилятатора, гемостатического клапана.  Наличие защитного механизма на дилятаторе, препятствующего самопроизвольному открытию. Возможность выбора интродьюсеров с гидрофильным покрытием.  Наличие интродьюсеров с иглой в комплекте 20 G x 32 mm, 20 G x 51 mm, 18 G x 64 mm, 18 G x 70mm. Наличие возможности выбора комплекта интродьюсера с металлической иглой или иглой-катетером.  Возможность выбора педиатрических наборов.  Наличие выбора длин минипроводника 45см, 80см. Наличие выбора диаметра мини проводника: 0,018", 0,021", 0,025", 0,035", 0,038". Цветовая кодировка по размерам. Выбор цветовой кодировки диаметра интродьюсера.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5) Проводники M являются нитиноловыми гидрофильными микропроводниками, покрытыми полиуретаном и гидрофильным покрытием для периферических и церебральных вмешательств, обладающие улучшенной навигацией в дистальных и извитых сосудах. Внешний диаметр: 0,018, 0,020, 0,025, 0,032, 0,035, 0,038. Длины проводников (см.): 50, 80, 120, 150, 180, 220, 260, 300, 450. Длина дистального кончика (см.): 1, 3, 5, 8. Форма кончика: прямой, загнутый. Материал сердцевины: нитинол. Ренгенноконтрастная оболочка: полиуретановый слой с частичками вольфрама. Гидрофильное покрытие: полиэстер эластомер с полимерным покрытием. 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Предназначается для дистальной катетеризации, селективной и сверх-селективной эмболизации в небольших, дистальных и анатомически сложных периферических и нейрологических сосудистых системах. Сверхэластичный нитиноловый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 Полиуретановое рентгенконтрастное покрытие: гладкое покрытие для минимизации адгезии клеток крови к проводнику, плавная и атравматическая навигация. Включает вольфрам для улучшения видимости. Улучшенная видимость кончика при флуороскопии в связи с дистальной золотой спиралью. Малые диаметры и различные типы формы кончика: сверхселективный доступ к дистальным и извитым сосудам. Повышенная гибкость и атравматически суженный наконечник: повышает гибкость проводника, плавная и безопасная навигация через извитые и сложные системы сосудов. 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 Цельная 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1 063 580,00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31 907 400,00</w:t>
            </w:r>
          </w:p>
        </w:tc>
      </w:tr>
      <w:tr w:rsidR="00E05D1F" w:rsidRPr="003E33CE" w:rsidTr="003E33CE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05D1F" w:rsidRPr="003E33CE" w:rsidRDefault="00E05D1F" w:rsidP="00E05D1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sz w:val="18"/>
                <w:szCs w:val="18"/>
              </w:rPr>
              <w:t>Выделено на закуп:</w:t>
            </w:r>
          </w:p>
        </w:tc>
        <w:tc>
          <w:tcPr>
            <w:tcW w:w="2835" w:type="dxa"/>
          </w:tcPr>
          <w:p w:rsidR="00E05D1F" w:rsidRPr="003E33CE" w:rsidRDefault="00E05D1F" w:rsidP="00E0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5D1F" w:rsidRPr="003E33CE" w:rsidRDefault="00E05D1F" w:rsidP="00E05D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1F" w:rsidRPr="003E33CE" w:rsidRDefault="00E05D1F" w:rsidP="00E05D1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31 907 400,00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05D1F" w:rsidRPr="00E05D1F">
        <w:rPr>
          <w:rFonts w:ascii="Times New Roman" w:hAnsi="Times New Roman" w:cs="Times New Roman"/>
          <w:color w:val="000000"/>
        </w:rPr>
        <w:t xml:space="preserve">31 907 400,00 </w:t>
      </w:r>
      <w:r w:rsidRPr="00A22725">
        <w:rPr>
          <w:rFonts w:ascii="Times New Roman" w:hAnsi="Times New Roman" w:cs="Times New Roman"/>
        </w:rPr>
        <w:t>(</w:t>
      </w:r>
      <w:r w:rsidR="00E05D1F">
        <w:rPr>
          <w:rFonts w:ascii="Times New Roman" w:hAnsi="Times New Roman" w:cs="Times New Roman"/>
        </w:rPr>
        <w:t>тридцать один миллион девятьсот семь тысяч четыреста</w:t>
      </w:r>
      <w:r w:rsidR="0025378A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>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467B7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D87DA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87DAD">
        <w:rPr>
          <w:rFonts w:ascii="Times New Roman" w:hAnsi="Times New Roman" w:cs="Times New Roman"/>
        </w:rPr>
        <w:t>2</w:t>
      </w:r>
      <w:r w:rsidR="007467B7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2F645E">
        <w:rPr>
          <w:rFonts w:ascii="Times New Roman" w:hAnsi="Times New Roman" w:cs="Times New Roman"/>
        </w:rPr>
        <w:t>феврал</w:t>
      </w:r>
      <w:r w:rsidR="00D010D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467B7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D87DA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87DAD">
        <w:rPr>
          <w:rFonts w:ascii="Times New Roman" w:hAnsi="Times New Roman" w:cs="Times New Roman"/>
          <w:u w:val="single"/>
        </w:rPr>
        <w:t>1</w:t>
      </w:r>
      <w:r w:rsidR="007467B7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467B7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D87DA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87DAD">
        <w:rPr>
          <w:rFonts w:ascii="Times New Roman" w:hAnsi="Times New Roman" w:cs="Times New Roman"/>
        </w:rPr>
        <w:t>1</w:t>
      </w:r>
      <w:r w:rsidR="007467B7">
        <w:rPr>
          <w:rFonts w:ascii="Times New Roman" w:hAnsi="Times New Roman" w:cs="Times New Roman"/>
        </w:rPr>
        <w:t>7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5A26D7" w:rsidRPr="005A26D7">
        <w:rPr>
          <w:rFonts w:ascii="Times New Roman" w:hAnsi="Times New Roman" w:cs="Times New Roman"/>
        </w:rPr>
        <w:t>Баймусанов А.Н.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A26D7" w:rsidRDefault="005A26D7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26D7">
        <w:rPr>
          <w:rFonts w:ascii="Times New Roman" w:eastAsia="Times New Roman" w:hAnsi="Times New Roman" w:cs="Times New Roman"/>
          <w:lang w:eastAsia="ru-RU"/>
        </w:rPr>
        <w:t>Сейтбаев Р.Т.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33CE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A26D7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467B7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67428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D29FE"/>
    <w:rsid w:val="00DE36B0"/>
    <w:rsid w:val="00DF7AEC"/>
    <w:rsid w:val="00E05D1F"/>
    <w:rsid w:val="00E145C7"/>
    <w:rsid w:val="00E148CF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DC6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147</cp:revision>
  <cp:lastPrinted>2022-02-23T08:47:00Z</cp:lastPrinted>
  <dcterms:created xsi:type="dcterms:W3CDTF">2021-04-02T05:34:00Z</dcterms:created>
  <dcterms:modified xsi:type="dcterms:W3CDTF">2022-02-25T06:03:00Z</dcterms:modified>
</cp:coreProperties>
</file>