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Протокола об итогах закупа способом тендера </w:t>
      </w:r>
    </w:p>
    <w:p w:rsidR="00000000" w:rsidDel="00000000" w:rsidP="00000000" w:rsidRDefault="00000000" w:rsidRPr="00000000" w14:paraId="00000003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«Приобретение медицинских изделий» </w:t>
      </w:r>
    </w:p>
    <w:p w:rsidR="00000000" w:rsidDel="00000000" w:rsidP="00000000" w:rsidRDefault="00000000" w:rsidRPr="00000000" w14:paraId="00000004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по объявлению № 26 от 03.05.2024г.</w:t>
      </w:r>
    </w:p>
    <w:p w:rsidR="00000000" w:rsidDel="00000000" w:rsidP="00000000" w:rsidRDefault="00000000" w:rsidRPr="00000000" w14:paraId="00000005">
      <w:pPr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для КГП на ПХВ Восточно-Казахстанский областной Многопрофильный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rtl w:val="0"/>
        </w:rPr>
        <w:t xml:space="preserve">«Центр Онкологии и Хирургии»</w:t>
      </w:r>
      <w:r w:rsidDel="00000000" w:rsidR="00000000" w:rsidRPr="00000000">
        <w:rPr>
          <w:rtl w:val="0"/>
        </w:rPr>
      </w:r>
    </w:p>
    <w:tbl>
      <w:tblPr>
        <w:tblStyle w:val="Table1"/>
        <w:tblW w:w="15511.000000000002" w:type="dxa"/>
        <w:jc w:val="left"/>
        <w:tblLayout w:type="fixed"/>
        <w:tblLook w:val="0000"/>
      </w:tblPr>
      <w:tblGrid>
        <w:gridCol w:w="6137"/>
        <w:gridCol w:w="4687"/>
        <w:gridCol w:w="4687"/>
        <w:tblGridChange w:id="0">
          <w:tblGrid>
            <w:gridCol w:w="6137"/>
            <w:gridCol w:w="4687"/>
            <w:gridCol w:w="4687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986.0" w:type="dxa"/>
              <w:jc w:val="left"/>
              <w:tblLayout w:type="fixed"/>
              <w:tblLook w:val="0000"/>
            </w:tblPr>
            <w:tblGrid>
              <w:gridCol w:w="2563"/>
              <w:gridCol w:w="2423"/>
              <w:tblGridChange w:id="0">
                <w:tblGrid>
                  <w:gridCol w:w="2563"/>
                  <w:gridCol w:w="242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8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г. Усть-Каменогорск</w:t>
                  </w:r>
                </w:p>
                <w:p w:rsidR="00000000" w:rsidDel="00000000" w:rsidP="00000000" w:rsidRDefault="00000000" w:rsidRPr="00000000" w14:paraId="00000009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КГП на ПХВ ВКО </w:t>
                  </w:r>
                </w:p>
                <w:p w:rsidR="00000000" w:rsidDel="00000000" w:rsidP="00000000" w:rsidRDefault="00000000" w:rsidRPr="00000000" w14:paraId="0000000A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М «ЦОиХ» УЗ ВКО,</w:t>
                  </w:r>
                </w:p>
                <w:p w:rsidR="00000000" w:rsidDel="00000000" w:rsidP="00000000" w:rsidRDefault="00000000" w:rsidRPr="00000000" w14:paraId="0000000B">
                  <w:pPr>
                    <w:jc w:val="both"/>
                    <w:rPr/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ул. Серикбаева, 1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jc w:val="both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  <w:rtl w:val="0"/>
                    </w:rPr>
                    <w:t xml:space="preserve">                                           </w:t>
                  </w:r>
                </w:p>
              </w:tc>
            </w:tr>
          </w:tbl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28.05.2024г.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567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1. </w:t>
      </w:r>
      <w:r w:rsidDel="00000000" w:rsidR="00000000" w:rsidRPr="00000000">
        <w:rPr>
          <w:color w:val="000000"/>
          <w:highlight w:val="white"/>
          <w:rtl w:val="0"/>
        </w:rPr>
        <w:t xml:space="preserve">Наименования и краткое описание товаров</w:t>
      </w:r>
      <w:r w:rsidDel="00000000" w:rsidR="00000000" w:rsidRPr="00000000">
        <w:rPr>
          <w:color w:val="000000"/>
          <w:rtl w:val="0"/>
        </w:rPr>
        <w:t xml:space="preserve">:     </w:t>
      </w:r>
    </w:p>
    <w:tbl>
      <w:tblPr>
        <w:tblStyle w:val="Table3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3260"/>
        <w:gridCol w:w="993"/>
        <w:gridCol w:w="992"/>
        <w:gridCol w:w="1559"/>
        <w:gridCol w:w="2126"/>
        <w:tblGridChange w:id="0">
          <w:tblGrid>
            <w:gridCol w:w="709"/>
            <w:gridCol w:w="3260"/>
            <w:gridCol w:w="993"/>
            <w:gridCol w:w="992"/>
            <w:gridCol w:w="1559"/>
            <w:gridCol w:w="2126"/>
          </w:tblGrid>
        </w:tblGridChange>
      </w:tblGrid>
      <w:tr>
        <w:trPr>
          <w:cantSplit w:val="0"/>
          <w:trHeight w:val="981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Ед.изм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Количество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Цена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Сумма, тенге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Система трансобтураторная тип иглы HALO для лечения недержания мочи в комплекте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E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306 000,00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918 000,00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Слинг-система мужская для лечения недержания мочи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790 000,00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2 370 000,00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Набор для выполнения трехэтапной чрезкожной пункционной нефростомии. Размер 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49 300,00  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1 479 000,00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F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0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1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49 300,00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1 232 500,00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Протез полового члена полугибкий, диаметр 11 мм. Общая длина 240 мм. Длина укорачиваемой части 70 мм. Полезная длина 170-240 мм.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7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435 000,00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870 000,00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200" w:line="276" w:lineRule="auto"/>
              <w:ind w:left="321" w:hanging="321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Протез полового члена полугибкий, диаметр 12 мм. Общая длина 260 мм. Длина укорачиваемой части 80 мм. Полезная длина 180-260 мм.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штука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D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435 000,00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spacing w:after="200" w:line="276" w:lineRule="auto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               435 000,00   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200"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200" w:line="276" w:lineRule="auto"/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7 304 500,00</w:t>
            </w:r>
          </w:p>
        </w:tc>
      </w:tr>
    </w:tbl>
    <w:p w:rsidR="00000000" w:rsidDel="00000000" w:rsidP="00000000" w:rsidRDefault="00000000" w:rsidRPr="00000000" w14:paraId="00000045">
      <w:pPr>
        <w:ind w:firstLine="567"/>
        <w:jc w:val="both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Сумма закупа: </w:t>
      </w:r>
      <w:r w:rsidDel="00000000" w:rsidR="00000000" w:rsidRPr="00000000">
        <w:rPr>
          <w:rtl w:val="0"/>
        </w:rPr>
        <w:t xml:space="preserve">закупа 7 304 500,00 </w:t>
      </w: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семь миллионов триста четыре тысячи пятьсот тенге 00 тиын) тенге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993"/>
        </w:tabs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2. Наименования, местонахождение и квалификационные данные потенциальных поставщиков, представивших тендерные заявки: </w:t>
      </w:r>
    </w:p>
    <w:p w:rsidR="00000000" w:rsidDel="00000000" w:rsidP="00000000" w:rsidRDefault="00000000" w:rsidRPr="00000000" w14:paraId="00000047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ТОО «MEDICAL MARKETING GROUP KZ» (МЕДИКАЛ МАРКЕТИНГ ГРУПП КЗ), г. Алматы, ул. Луганского 54В – 14.05.2024г. в 11.56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000000" w:rsidDel="00000000" w:rsidP="00000000" w:rsidRDefault="00000000" w:rsidRPr="00000000" w14:paraId="00000048">
      <w:pPr>
        <w:ind w:firstLine="567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3. Цена и другие условия каждой тендерной заявки в соответствии с тендерной документацией: Потенциальные поставщики представили следующие ценовые предложения:</w:t>
      </w:r>
    </w:p>
    <w:tbl>
      <w:tblPr>
        <w:tblStyle w:val="Table4"/>
        <w:tblpPr w:leftFromText="180" w:rightFromText="180" w:topFromText="0" w:bottomFromText="0" w:vertAnchor="text" w:horzAnchor="text" w:tblpX="0" w:tblpY="62"/>
        <w:tblW w:w="99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9"/>
        <w:gridCol w:w="7224"/>
        <w:gridCol w:w="1985"/>
        <w:tblGridChange w:id="0">
          <w:tblGrid>
            <w:gridCol w:w="709"/>
            <w:gridCol w:w="7224"/>
            <w:gridCol w:w="1985"/>
          </w:tblGrid>
        </w:tblGridChange>
      </w:tblGrid>
      <w:tr>
        <w:trPr>
          <w:cantSplit w:val="0"/>
          <w:trHeight w:val="10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 лота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Наименование лота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ТОО "MEDICAL MARKETING GROUP KZ" (МЕДИКАЛ МАРКЕТИНГ ГРУПП КЗ)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Система трансобтураторная тип иглы HALO для лечения недержания мочи в комплекте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306 000,00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Слинг-система мужская для лечения недержания мочи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200" w:line="276" w:lineRule="auto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Набор для выполнения трехэтапной чрезкожной пункционной нефростомии. Размер 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Набор для выполнения трехэтапной чрезкожной пункционной нефростомии. Размер 9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Протез полового члена полугибкий, диаметр 11 мм. Общая длина 240 мм. Длина укорачиваемой части 70 мм. Полезная длина 170-240 мм.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435 000,00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200"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Протез полового члена полугибкий, диаметр 12 мм. Общая длина 260 мм. Длина укорачиваемой части 80 мм. Полезная длина 180-260 мм.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D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435 000,00</w:t>
            </w:r>
          </w:p>
        </w:tc>
      </w:tr>
    </w:tbl>
    <w:p w:rsidR="00000000" w:rsidDel="00000000" w:rsidP="00000000" w:rsidRDefault="00000000" w:rsidRPr="00000000" w14:paraId="0000005E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Эксперты не привлекались.</w:t>
      </w:r>
    </w:p>
    <w:p w:rsidR="00000000" w:rsidDel="00000000" w:rsidP="00000000" w:rsidRDefault="00000000" w:rsidRPr="00000000" w14:paraId="0000005F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4. Изложение оценки и сопоставления тендерных заявок:</w:t>
      </w:r>
    </w:p>
    <w:p w:rsidR="00000000" w:rsidDel="00000000" w:rsidP="00000000" w:rsidRDefault="00000000" w:rsidRPr="00000000" w14:paraId="00000060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000000" w:rsidDel="00000000" w:rsidP="00000000" w:rsidRDefault="00000000" w:rsidRPr="00000000" w14:paraId="00000061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5. Основания отклонения тендерных заявок: не имеется.</w:t>
      </w:r>
    </w:p>
    <w:p w:rsidR="00000000" w:rsidDel="00000000" w:rsidP="00000000" w:rsidRDefault="00000000" w:rsidRPr="00000000" w14:paraId="0000006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6.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000000" w:rsidDel="00000000" w:rsidP="00000000" w:rsidRDefault="00000000" w:rsidRPr="00000000" w14:paraId="00000063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- ТОО «MEDICAL MARKETING GROUP KZ» (МЕДИКАЛ МАРКЕТИНГ ГРУПП КЗ), г. Алматы, ул. Луганского 54В, признан победителем по лоту № 1(Система трансобтураторная Obtryx™ II HALO для лечения недержания мочи в комплекте) – </w:t>
      </w:r>
      <w:r w:rsidDel="00000000" w:rsidR="00000000" w:rsidRPr="00000000">
        <w:rPr>
          <w:highlight w:val="white"/>
          <w:rtl w:val="0"/>
        </w:rPr>
        <w:t xml:space="preserve">согласно п.66 Правил</w:t>
      </w:r>
      <w:r w:rsidDel="00000000" w:rsidR="00000000" w:rsidRPr="00000000">
        <w:rPr>
          <w:color w:val="000000"/>
          <w:rtl w:val="0"/>
        </w:rPr>
        <w:t xml:space="preserve">; признан победителем по лоту № 5(Протез полового члена TUBE в наборе. Функциональная длина (мм): 170. Т-110)– согласно п.66 Правил, признан победителем по лоту № 6 (Протез полового члена TUBE в наборе. Функциональная длина (мм): 180. Т-120)– согласно п.66 Правил.</w:t>
      </w:r>
    </w:p>
    <w:p w:rsidR="00000000" w:rsidDel="00000000" w:rsidP="00000000" w:rsidRDefault="00000000" w:rsidRPr="00000000" w14:paraId="00000064">
      <w:pPr>
        <w:ind w:firstLine="56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00000" w:rsidDel="00000000" w:rsidP="00000000" w:rsidRDefault="00000000" w:rsidRPr="00000000" w14:paraId="00000065">
      <w:pP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     1. Признать победителем закуп по лотам № 1, 5, 6 ТОО «MEDICAL MARKETING GROUP KZ» (МЕДИКАЛ МАРКЕТИНГ ГРУПП КЗ) и заключить договор в срок в течение пяти календарных дней со дня подведения итогов тендера на сумму </w:t>
      </w:r>
      <w:r w:rsidDel="00000000" w:rsidR="00000000" w:rsidRPr="00000000">
        <w:rPr>
          <w:rtl w:val="0"/>
        </w:rPr>
        <w:t xml:space="preserve">2 223 000,00 тенге;</w:t>
      </w:r>
    </w:p>
    <w:p w:rsidR="00000000" w:rsidDel="00000000" w:rsidP="00000000" w:rsidRDefault="00000000" w:rsidRPr="00000000" w14:paraId="00000066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2. </w:t>
      </w:r>
      <w:r w:rsidDel="00000000" w:rsidR="00000000" w:rsidRPr="00000000">
        <w:rPr>
          <w:color w:val="000000"/>
          <w:highlight w:val="white"/>
          <w:rtl w:val="0"/>
        </w:rPr>
        <w:t xml:space="preserve">Признать лоты № 2-4 несостоявшимися согласно пп. 1 п. 65 Правил: отсутствие тендерных заявок.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Председатель </w:t>
        <w:tab/>
        <w:tab/>
        <w:t xml:space="preserve">                                                                                       Кухарева А.А.</w:t>
      </w:r>
    </w:p>
    <w:p w:rsidR="00000000" w:rsidDel="00000000" w:rsidP="00000000" w:rsidRDefault="00000000" w:rsidRPr="00000000" w14:paraId="0000006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rtl w:val="0"/>
        </w:rPr>
        <w:t xml:space="preserve">Заместитель председателя                                                                                                 Ибраев А.Е.</w:t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/>
      </w:pPr>
      <w:r w:rsidDel="00000000" w:rsidR="00000000" w:rsidRPr="00000000">
        <w:rPr>
          <w:rtl w:val="0"/>
        </w:rPr>
        <w:t xml:space="preserve">Члены комиссии:</w:t>
      </w:r>
    </w:p>
    <w:p w:rsidR="00000000" w:rsidDel="00000000" w:rsidP="00000000" w:rsidRDefault="00000000" w:rsidRPr="00000000" w14:paraId="0000006D">
      <w:pPr>
        <w:jc w:val="both"/>
        <w:rPr/>
      </w:pPr>
      <w:r w:rsidDel="00000000" w:rsidR="00000000" w:rsidRPr="00000000">
        <w:rPr>
          <w:rtl w:val="0"/>
        </w:rPr>
        <w:t xml:space="preserve">Иманғали Д.Қ. </w:t>
      </w:r>
    </w:p>
    <w:p w:rsidR="00000000" w:rsidDel="00000000" w:rsidP="00000000" w:rsidRDefault="00000000" w:rsidRPr="00000000" w14:paraId="0000006E">
      <w:pPr>
        <w:jc w:val="both"/>
        <w:rPr/>
      </w:pPr>
      <w:r w:rsidDel="00000000" w:rsidR="00000000" w:rsidRPr="00000000">
        <w:rPr>
          <w:rtl w:val="0"/>
        </w:rPr>
        <w:t xml:space="preserve">Сагидуллин С.О.</w:t>
      </w:r>
    </w:p>
    <w:p w:rsidR="00000000" w:rsidDel="00000000" w:rsidP="00000000" w:rsidRDefault="00000000" w:rsidRPr="00000000" w14:paraId="0000006F">
      <w:pPr>
        <w:jc w:val="both"/>
        <w:rPr/>
      </w:pPr>
      <w:r w:rsidDel="00000000" w:rsidR="00000000" w:rsidRPr="00000000">
        <w:rPr>
          <w:rtl w:val="0"/>
        </w:rPr>
        <w:t xml:space="preserve">Қайратқызы А.</w:t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/>
      </w:pPr>
      <w:r w:rsidDel="00000000" w:rsidR="00000000" w:rsidRPr="00000000">
        <w:rPr>
          <w:rtl w:val="0"/>
        </w:rPr>
        <w:t xml:space="preserve">Секретарь </w:t>
        <w:tab/>
        <w:tab/>
        <w:tab/>
        <w:tab/>
        <w:tab/>
        <w:tab/>
        <w:tab/>
        <w:tab/>
        <w:tab/>
        <w:t xml:space="preserve">                Корженко О.О.</w:t>
      </w:r>
    </w:p>
    <w:sectPr>
      <w:pgSz w:h="16838" w:w="11906" w:orient="portrait"/>
      <w:pgMar w:bottom="1134" w:top="395" w:left="1560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8A556C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s1" w:customStyle="1">
    <w:name w:val="s1"/>
    <w:rsid w:val="008A556C"/>
    <w:rPr>
      <w:rFonts w:ascii="Times New Roman" w:cs="Times New Roman" w:hAnsi="Times New Roman"/>
      <w:b w:val="1"/>
      <w:bCs w:val="1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s0" w:customStyle="1">
    <w:name w:val="s0"/>
    <w:rsid w:val="00B77306"/>
    <w:rPr>
      <w:rFonts w:ascii="Times New Roman" w:cs="Times New Roman" w:hAnsi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 w:val="1"/>
    <w:unhideWhenUsed w:val="1"/>
    <w:rsid w:val="00D15ED9"/>
    <w:rPr>
      <w:rFonts w:ascii="Segoe UI" w:cs="Segoe UI" w:hAnsi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D15ED9"/>
    <w:rPr>
      <w:rFonts w:ascii="Segoe UI" w:cs="Segoe UI" w:eastAsia="Times New Roman" w:hAnsi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 w:val="1"/>
    <w:rsid w:val="00E84C00"/>
    <w:pPr>
      <w:ind w:left="720"/>
      <w:contextualSpacing w:val="1"/>
    </w:pPr>
  </w:style>
  <w:style w:type="paragraph" w:styleId="a6">
    <w:name w:val="header"/>
    <w:basedOn w:val="a"/>
    <w:link w:val="a7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 w:val="1"/>
    <w:rsid w:val="00604AE0"/>
    <w:pPr>
      <w:tabs>
        <w:tab w:val="center" w:pos="4677"/>
        <w:tab w:val="right" w:pos="9355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604AE0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 w:val="1"/>
    <w:unhideWhenUsed w:val="1"/>
    <w:rsid w:val="00A0008B"/>
    <w:rPr>
      <w:sz w:val="16"/>
      <w:szCs w:val="16"/>
    </w:rPr>
  </w:style>
  <w:style w:type="paragraph" w:styleId="ab">
    <w:name w:val="annotation text"/>
    <w:basedOn w:val="a"/>
    <w:link w:val="ac"/>
    <w:uiPriority w:val="99"/>
    <w:semiHidden w:val="1"/>
    <w:unhideWhenUsed w:val="1"/>
    <w:rsid w:val="00A0008B"/>
    <w:rPr>
      <w:sz w:val="20"/>
      <w:szCs w:val="20"/>
    </w:rPr>
  </w:style>
  <w:style w:type="character" w:styleId="ac" w:customStyle="1">
    <w:name w:val="Текст примечания Знак"/>
    <w:basedOn w:val="a0"/>
    <w:link w:val="ab"/>
    <w:uiPriority w:val="99"/>
    <w:semiHidden w:val="1"/>
    <w:rsid w:val="00A0008B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 w:val="1"/>
    <w:unhideWhenUsed w:val="1"/>
    <w:rsid w:val="00A0008B"/>
    <w:rPr>
      <w:b w:val="1"/>
      <w:bCs w:val="1"/>
    </w:rPr>
  </w:style>
  <w:style w:type="character" w:styleId="ae" w:customStyle="1">
    <w:name w:val="Тема примечания Знак"/>
    <w:basedOn w:val="ac"/>
    <w:link w:val="ad"/>
    <w:uiPriority w:val="99"/>
    <w:semiHidden w:val="1"/>
    <w:rsid w:val="00A0008B"/>
    <w:rPr>
      <w:rFonts w:ascii="Times New Roman" w:cs="Times New Roman" w:eastAsia="Times New Roman" w:hAnsi="Times New Roman"/>
      <w:b w:val="1"/>
      <w:bCs w:val="1"/>
      <w:sz w:val="20"/>
      <w:szCs w:val="20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iWfBSTgLOgGIckavGRZxd1HFw==">CgMxLjAyCGguZ2pkZ3hzOAByITFIMkJDVWlKdmtOWGhlVUhYN0E4RHJ5RWdldF80bUlPRw==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2024-05-28T10:23:00Z</dcterms:created>
  <dc:creator>User</dc:creator>
</cp:coreProperties>
</file>