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9347A" w:rsidRPr="00A547F1">
        <w:rPr>
          <w:color w:val="000000"/>
        </w:rPr>
        <w:t xml:space="preserve">Приобретение </w:t>
      </w:r>
      <w:r w:rsidR="00E9347A">
        <w:rPr>
          <w:color w:val="000000"/>
        </w:rPr>
        <w:t>м</w:t>
      </w:r>
      <w:r w:rsidR="00E9347A" w:rsidRPr="00FA16B3">
        <w:rPr>
          <w:color w:val="000000"/>
        </w:rPr>
        <w:t>едицински</w:t>
      </w:r>
      <w:r w:rsidR="00E9347A">
        <w:rPr>
          <w:color w:val="000000"/>
        </w:rPr>
        <w:t>х</w:t>
      </w:r>
      <w:r w:rsidR="00E9347A" w:rsidRPr="00FA16B3">
        <w:rPr>
          <w:color w:val="000000"/>
        </w:rPr>
        <w:t xml:space="preserve"> издели</w:t>
      </w:r>
      <w:r w:rsidR="00E9347A">
        <w:rPr>
          <w:color w:val="000000"/>
        </w:rPr>
        <w:t>й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</w:t>
      </w:r>
      <w:r w:rsidR="00A52A5A">
        <w:rPr>
          <w:bCs/>
          <w:color w:val="000000"/>
          <w:lang w:val="en-US"/>
        </w:rPr>
        <w:t>7</w:t>
      </w:r>
      <w:r w:rsidRPr="003F2CCF">
        <w:rPr>
          <w:bCs/>
          <w:color w:val="000000"/>
        </w:rPr>
        <w:t xml:space="preserve"> от </w:t>
      </w:r>
      <w:r w:rsidR="00E9347A">
        <w:rPr>
          <w:bCs/>
          <w:color w:val="000000"/>
        </w:rPr>
        <w:t>2</w:t>
      </w:r>
      <w:r w:rsidR="00A52A5A">
        <w:rPr>
          <w:bCs/>
          <w:color w:val="000000"/>
          <w:lang w:val="en-US"/>
        </w:rPr>
        <w:t>5</w:t>
      </w:r>
      <w:r>
        <w:rPr>
          <w:bCs/>
          <w:color w:val="000000"/>
        </w:rPr>
        <w:t>.02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A52A5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F83846">
              <w:rPr>
                <w:b/>
              </w:rPr>
              <w:t>2</w:t>
            </w:r>
            <w:r w:rsidR="00A52A5A">
              <w:rPr>
                <w:b/>
                <w:lang w:val="en-US"/>
              </w:rPr>
              <w:t>5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992"/>
        <w:gridCol w:w="851"/>
        <w:gridCol w:w="1417"/>
        <w:gridCol w:w="1559"/>
      </w:tblGrid>
      <w:tr w:rsidR="00A52A5A" w:rsidRPr="00474AA5" w:rsidTr="00A52A5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№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Наименование лота</w:t>
            </w:r>
          </w:p>
        </w:tc>
        <w:tc>
          <w:tcPr>
            <w:tcW w:w="3260" w:type="dxa"/>
            <w:vAlign w:val="center"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Ед.изм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Цена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Сумма, тенге</w:t>
            </w:r>
          </w:p>
        </w:tc>
      </w:tr>
      <w:tr w:rsidR="00A52A5A" w:rsidRPr="00474AA5" w:rsidTr="00A52A5A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Комплект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печени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A5A" w:rsidRPr="00474AA5" w:rsidRDefault="00A52A5A" w:rsidP="005E4BD8">
            <w:pPr>
              <w:spacing w:after="200" w:line="276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1) Микросферы, нагружаемые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изготовлены из биосовместимого гидрогеля, содержащего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полиэтиленгликоль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10к акриламид, модифицированный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сульфонатными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группами для контролируемого введения и доставки химиотерапевтических препаратов. Загрузка микросфер, нагружаемых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возможна следующими химиотерапевтическими препаратами: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доксорубицином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иринотеканом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эпирубицином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идарубицином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Время подготовки раствора от 30 минут. Микросферы, нагружаемые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в состоянии выдерживать временное сжатие на 20-30%, что обеспечивает прохождение через доставляющий катетер. Предоставлены в нескольких диаметрах 100, 200, 400 мкм, окрашены в зеленый цвет. Микросферы, нагружаемые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поставляются в шприце объемом 20 мл, предварительно заполненном 2 мл продукта, суспендированного в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апирогенном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стерильном солевом физиологическом транспортном растворе. Суммарный объем солевого физиологического раствора и микросфер, нагружаемых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составляет примерно 6 мл. Предварительно заполненные шприцы с микросферами, нагружаемыми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упакованы в стерильный запечатанный лоток с отделяемой 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крышкой. Микросферы, нагружаемые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предназначены для активного поглощения лекарств своей матрицей: 37,5 мг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доксорубицина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микросфер, 5 мг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идарубицина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микросфер, 25 мг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эпирубицина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микросфер, 50,0 мг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иринотекана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микросфер. Новая формула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Полиэтиленгликоля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(ПЭГ) делает микросферы устойчивыми к давлению и трению. Гидрофильный материал увеличивает сжимаемость, эластичность 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доставляемость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катетере. Негативно-заряженные сульфатные группы специально модифицированы для загрузки и выделения лекарственных препаратов. Улучшенная сжимаемость, аккуратная и эффективная окклюзия с уменьшением риском нецелевой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Загруженные лекарственным препаратом микросферы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дольге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остаются в состоянии суспензии.  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2)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микропроводником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комплекте (по коаксиальным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микрокатетерам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).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суперселективные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гидрофильные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рентгенконтрастные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микрокатетеры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которая способствует продвижению катетера в целевые сосуды. Структура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шафта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катетера состоит из 3-х слоев: внутренний слой из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тефлона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; средний слой: вольфрамовая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рентгенконтрастная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спираль; внешний слой: полиэстер эластомер с полимерным покрытием. Доступны катетеры с одной или двумя дистальными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рентгенконтрастными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метками (материал меток -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Pt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 по 7 мм каждый.  Длина коаксиального/не коаксиального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миикрокатетера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110 см., 130 см., 150 см. Максимальное давление катетеров: 750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(5171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); 900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(6205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).  Внешний диаметр 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для коаксиальных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2.4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(0.80 мм), 2.7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(0.90 мм), 2.8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(0.93 мм). Внутренний диаметр для коаксиальных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0.022 (0.57 мм), 0.025 (0.65 мм), 0.027 (0.70 мм). Внешний диаметр для не коаксиальных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2.0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(0.67 мм), 2.4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(0.80 мм), 2.7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(0.90 мм), 2.8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(0.93 мм). Внутренний диаметр для не коаксиальных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0.019 (0.49 мм), 0.022 (0.57 мм), 0.025 (0.65 мм), 0.027 (0.70 мм). Дистальный кончик: прямой, угловой 90 градусов. Диаметры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(для коаксиальных версий): 0.018" (0.46 мм), 0.021" (0.53 мм). Длина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(для коаксиальных версий): 120 см; 140 см. Выступающая часть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 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>3) Катетер ангиографический: размерами (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/мм)- 4/1.40; 5/1.70; длиной (см)- 40; 65; 70; 80; 100; 110; 120, 150 Тонкая гибкая трубка, предназначенная для впрыскивания контрастного вещества в некоторые кровеносные сосуды головной, 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Супермягкий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гидрофильный катетер вводится подкожно и оснащен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рентгенококнтрастными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трансвальвулярного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внутрисосудистого 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внутрижелудочкового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давления. Это одноразовое устройство. Катетер 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предназначен для использования в ангиографических процедурах. Катетер подает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рентгеноконтрастные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вещества и терапевтические агенты в отдельные участки в сосудистой системе. Он также используется для доставки направляющего проводника или катетера к месту целевого назначения. Внешний диаметр: 4Fr (1.40 мм), 5Fr (1.70 мм), 4Fr (1.40 мм). Внутренний диаметр: 0.041 (1.03 мм</w:t>
            </w:r>
            <w:proofErr w:type="gram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),:</w:t>
            </w:r>
            <w:proofErr w:type="gram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0.043 (1.1 мм). Максимальное давление впрыска: 5171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(750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), 6895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(1000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), 5171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(750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).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4)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предназначается для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чрескожного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введения в сосуд для облегчения процедуры вмешательства в целом. Уникальный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гемостатический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клапан поддерживает необычайно высокий уровень гемостаза, что позволяет избегать кровотечений и аспирации воздуха. Плавный переход «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шафт-дилятатор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» и оптимальная конусообразная конструкция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позволяют уменьшить сопротивление проколу. Чрезвычайно тонкая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рентгеноконтрастная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стенка с муфтой для предотвращения перекручивания, обеспечивающая превосходное управление катетером.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защелкой, предотвращающей смещение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при введении и позволяющей осуществлять удаление дилататора одной рукой.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феморальный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Возможность выбора диаметра 5, 6, 7, 8, 9, 10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 Возможность выбора длины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длиной 10 см.  Возможность выбора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ренгенконтрастной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меткой. Возможность выбора цветовой кодировки диаметра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 Возможность выбора двухслойной стенки, с внешним слоем из этилен-тетра-фтор-этилена.  Возможность выбора в комплекте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гемостатического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клапана.  Наличие защитного механизма на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дилятаторе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препятствующего самопроизвольному открытию. Возможность выбора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гидрофильным покрытием.  Наличие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иглой в комплекте 20 G x 32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mm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20 G x 51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mm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18 G x 64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mm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18 G x 70mm. Наличие возможности выбора комплекта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металлической иглой или иглой-катетером.  Возможность выбора педиатрических наборов.  Наличие выбора длин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минипроводника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45см, 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80см. Наличие выбора диаметра мини проводника: 0,018", 0,021", 0,025", 0,035", 0,038". Цветовая кодировка по размерам. Выбор цветовой кодировки диаметра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интродьюсера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5) Проводники M являются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нитиноловыми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гидрофильными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микропроводниками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покрытыми полиуретаном и гидрофильным покрытием для периферических и церебральных вмешательств, обладающие улучшенной навигацией в дистальных и извитых сосудах. Внешний диаметр: 0,018, 0,020, 0,025, 0,032, 0,035, 0,038. Длины проводников (см.): 50, 80, 120, 150, 180, 220, 260, 300, 450. Длина дистального кончика (см.): 1, 3, 5, 8. Форма кончика: прямой, загнутый. Материал сердцевины: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нитинол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Ренгенноконтрастная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оболочка: полиуретановый слой с частичками вольфрама. Гидрофильное покрытие: полиэстер эластомер с полимерным покрытием. Предназначается для дистальной катетеризации, селективной 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сверх-селективной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эмболизации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небольших, дистальных и анатомически сложных периферических 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нейрологических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сосудистых системах. Сверхэластичный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нитиноловый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 Полиуретановое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рентгенконтрастное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покрытие: гладкое покрытие для минимизации адгезии клеток крови к проводнику, плавная и атравматическая навигация. Включает вольфрам для улучшения видимости. Улучшенная видимость кончика при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флуороскопии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связи с дистальной золотой спиралью. Малые диаметры и различные типы формы кончика: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сверхселективный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доступ к дистальным и извитым сосудам. Повышенная гибкость и </w:t>
            </w:r>
            <w:proofErr w:type="spellStart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атравматически</w:t>
            </w:r>
            <w:proofErr w:type="spellEnd"/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суженный наконечник: повышает гибкость проводника, плавная и безопасная навигация через извитые и сложные системы сосудов. 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 Цельная </w:t>
            </w: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1 063 580,00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31 907 400,00</w:t>
            </w:r>
          </w:p>
        </w:tc>
      </w:tr>
      <w:tr w:rsidR="00A52A5A" w:rsidRPr="00474AA5" w:rsidTr="00A52A5A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52A5A" w:rsidRPr="00474AA5" w:rsidRDefault="00A52A5A" w:rsidP="005E4BD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sz w:val="18"/>
                <w:szCs w:val="18"/>
                <w:lang w:eastAsia="en-US"/>
              </w:rPr>
              <w:t>Выделено на закуп:</w:t>
            </w:r>
          </w:p>
        </w:tc>
        <w:tc>
          <w:tcPr>
            <w:tcW w:w="3260" w:type="dxa"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52A5A" w:rsidRPr="00474AA5" w:rsidRDefault="00A52A5A" w:rsidP="005E4BD8">
            <w:pPr>
              <w:jc w:val="right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74AA5" w:rsidRDefault="00A52A5A" w:rsidP="005E4BD8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474AA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31 907 400,00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9B0B1C" w:rsidRPr="00474AA5">
        <w:rPr>
          <w:color w:val="000000"/>
        </w:rPr>
        <w:t xml:space="preserve">31 907 400,00 (тридцать один миллион девятьсот семь тысяч четыреста </w:t>
      </w:r>
      <w:r w:rsidR="00F4507C" w:rsidRPr="00F4507C">
        <w:rPr>
          <w:color w:val="000000"/>
        </w:rPr>
        <w:t xml:space="preserve">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52A5A" w:rsidRPr="00434CED" w:rsidRDefault="00A52A5A" w:rsidP="00A52A5A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474AA5">
        <w:rPr>
          <w:bCs/>
          <w:color w:val="000000"/>
        </w:rPr>
        <w:t>АлтайМедика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Усть-Каменогорск, </w:t>
      </w:r>
      <w:proofErr w:type="spellStart"/>
      <w:r>
        <w:rPr>
          <w:color w:val="000000"/>
        </w:rPr>
        <w:t>пр.Н.Назарбаева</w:t>
      </w:r>
      <w:proofErr w:type="spellEnd"/>
      <w:r>
        <w:rPr>
          <w:color w:val="000000"/>
        </w:rPr>
        <w:t>, дом 55/1, кв.52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17.03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11.24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8A556C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961"/>
      </w:tblGrid>
      <w:tr w:rsidR="00A52A5A" w:rsidRPr="00487422" w:rsidTr="00A52A5A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52A5A" w:rsidRPr="00487422" w:rsidRDefault="00A52A5A" w:rsidP="005E4BD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A52A5A" w:rsidRPr="00487422" w:rsidRDefault="00A52A5A" w:rsidP="005E4BD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5A" w:rsidRPr="00EC388E" w:rsidRDefault="00A52A5A" w:rsidP="005E4BD8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474AA5">
              <w:rPr>
                <w:b/>
                <w:bCs/>
                <w:color w:val="000000"/>
              </w:rPr>
              <w:t>АлтайМедика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</w:tr>
      <w:tr w:rsidR="00A52A5A" w:rsidRPr="00487422" w:rsidTr="00A52A5A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A52A5A" w:rsidRPr="00487422" w:rsidRDefault="00A52A5A" w:rsidP="005E4BD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A52A5A" w:rsidRPr="00487422" w:rsidRDefault="00A52A5A" w:rsidP="005E4BD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61" w:type="dxa"/>
            <w:vMerge/>
            <w:vAlign w:val="center"/>
          </w:tcPr>
          <w:p w:rsidR="00A52A5A" w:rsidRPr="00487422" w:rsidRDefault="00A52A5A" w:rsidP="005E4BD8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A5A" w:rsidRPr="00487422" w:rsidTr="00A52A5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52A5A" w:rsidRPr="00487422" w:rsidRDefault="00A52A5A" w:rsidP="005E4BD8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A5A" w:rsidRPr="000D2139" w:rsidRDefault="00A52A5A" w:rsidP="005E4BD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74AA5">
              <w:rPr>
                <w:rFonts w:eastAsiaTheme="minorHAnsi"/>
                <w:lang w:eastAsia="en-US"/>
              </w:rPr>
              <w:t xml:space="preserve">Комплект для </w:t>
            </w:r>
            <w:proofErr w:type="spellStart"/>
            <w:r w:rsidRPr="00474AA5">
              <w:rPr>
                <w:rFonts w:eastAsiaTheme="minorHAnsi"/>
                <w:lang w:eastAsia="en-US"/>
              </w:rPr>
              <w:t>химиоэмболизации</w:t>
            </w:r>
            <w:proofErr w:type="spellEnd"/>
            <w:r w:rsidRPr="00474AA5">
              <w:rPr>
                <w:rFonts w:eastAsiaTheme="minorHAnsi"/>
                <w:lang w:eastAsia="en-US"/>
              </w:rPr>
              <w:t xml:space="preserve"> печени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5A" w:rsidRPr="00487422" w:rsidRDefault="00A52A5A" w:rsidP="005E4BD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74AA5">
              <w:rPr>
                <w:rFonts w:eastAsiaTheme="minorHAnsi"/>
                <w:lang w:eastAsia="en-US"/>
              </w:rPr>
              <w:t>1 063 580,00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64350B">
        <w:rPr>
          <w:bCs/>
          <w:kern w:val="36"/>
          <w:sz w:val="22"/>
          <w:szCs w:val="22"/>
        </w:rPr>
        <w:t>не имеется.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3C650B" w:rsidP="001F0DF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4924CA" w:rsidRPr="003F2CCF">
        <w:rPr>
          <w:color w:val="000000"/>
        </w:rPr>
        <w:t>ТОО «</w:t>
      </w:r>
      <w:r w:rsidR="004924CA" w:rsidRPr="00474AA5">
        <w:rPr>
          <w:bCs/>
          <w:color w:val="000000"/>
        </w:rPr>
        <w:t>АлтайМедика</w:t>
      </w:r>
      <w:r w:rsidR="004924CA" w:rsidRPr="003F2CCF">
        <w:rPr>
          <w:color w:val="000000"/>
        </w:rPr>
        <w:t xml:space="preserve">», </w:t>
      </w:r>
      <w:r w:rsidR="004924CA">
        <w:rPr>
          <w:color w:val="000000"/>
        </w:rPr>
        <w:t xml:space="preserve">г. Усть-Каменогорск, </w:t>
      </w:r>
      <w:proofErr w:type="spellStart"/>
      <w:r w:rsidR="004924CA">
        <w:rPr>
          <w:color w:val="000000"/>
        </w:rPr>
        <w:t>пр.Н.Назарбаева</w:t>
      </w:r>
      <w:proofErr w:type="spellEnd"/>
      <w:r w:rsidR="004924CA">
        <w:rPr>
          <w:color w:val="000000"/>
        </w:rPr>
        <w:t>, дом 55/1, кв.52</w:t>
      </w:r>
      <w:r w:rsidR="001F0DF3" w:rsidRPr="00B70A17">
        <w:rPr>
          <w:color w:val="000000"/>
        </w:rPr>
        <w:t>,</w:t>
      </w:r>
      <w:r w:rsidR="001F0DF3"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8D2C20">
        <w:rPr>
          <w:color w:val="000000"/>
          <w:spacing w:val="2"/>
          <w:shd w:val="clear" w:color="auto" w:fill="FFFFFF"/>
        </w:rPr>
        <w:t xml:space="preserve">ам № </w:t>
      </w:r>
      <w:r w:rsidR="003F390F">
        <w:rPr>
          <w:color w:val="000000"/>
          <w:spacing w:val="2"/>
          <w:shd w:val="clear" w:color="auto" w:fill="FFFFFF"/>
        </w:rPr>
        <w:t>1</w:t>
      </w:r>
      <w:r w:rsidR="00673E9C">
        <w:rPr>
          <w:color w:val="000000"/>
          <w:spacing w:val="2"/>
          <w:shd w:val="clear" w:color="auto" w:fill="FFFFFF"/>
        </w:rPr>
        <w:t>(</w:t>
      </w:r>
      <w:r w:rsidR="00B82599">
        <w:rPr>
          <w:color w:val="000000"/>
          <w:spacing w:val="2"/>
          <w:shd w:val="clear" w:color="auto" w:fill="FFFFFF"/>
        </w:rPr>
        <w:t xml:space="preserve">Микросферы для </w:t>
      </w:r>
      <w:proofErr w:type="spellStart"/>
      <w:r w:rsidR="00B82599">
        <w:rPr>
          <w:color w:val="000000"/>
          <w:spacing w:val="2"/>
          <w:shd w:val="clear" w:color="auto" w:fill="FFFFFF"/>
        </w:rPr>
        <w:t>эмболизации</w:t>
      </w:r>
      <w:proofErr w:type="spellEnd"/>
      <w:r w:rsidR="00B82599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B82599">
        <w:rPr>
          <w:color w:val="000000"/>
          <w:spacing w:val="2"/>
          <w:shd w:val="clear" w:color="auto" w:fill="FFFFFF"/>
          <w:lang w:val="en-US"/>
        </w:rPr>
        <w:t>LifePearl</w:t>
      </w:r>
      <w:proofErr w:type="spellEnd"/>
      <w:r w:rsidR="00B82599">
        <w:rPr>
          <w:color w:val="000000"/>
          <w:spacing w:val="2"/>
          <w:shd w:val="clear" w:color="auto" w:fill="FFFFFF"/>
        </w:rPr>
        <w:t xml:space="preserve"> размером (мкм) 100; 200; 400 в шприце 20 мл, Система </w:t>
      </w:r>
      <w:proofErr w:type="spellStart"/>
      <w:r w:rsidR="00B82599">
        <w:rPr>
          <w:color w:val="000000"/>
          <w:spacing w:val="2"/>
          <w:shd w:val="clear" w:color="auto" w:fill="FFFFFF"/>
        </w:rPr>
        <w:t>микрокатетера</w:t>
      </w:r>
      <w:proofErr w:type="spellEnd"/>
      <w:r w:rsidR="00B82599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B82599">
        <w:rPr>
          <w:color w:val="000000"/>
          <w:spacing w:val="2"/>
          <w:shd w:val="clear" w:color="auto" w:fill="FFFFFF"/>
          <w:lang w:val="en-US"/>
        </w:rPr>
        <w:t>Progreat</w:t>
      </w:r>
      <w:proofErr w:type="spellEnd"/>
      <w:r w:rsidR="00B82599">
        <w:rPr>
          <w:color w:val="000000"/>
          <w:spacing w:val="2"/>
          <w:shd w:val="clear" w:color="auto" w:fill="FFFFFF"/>
        </w:rPr>
        <w:t xml:space="preserve">, Катетер ангиографический </w:t>
      </w:r>
      <w:r w:rsidR="00B82599">
        <w:rPr>
          <w:color w:val="000000"/>
          <w:spacing w:val="2"/>
          <w:shd w:val="clear" w:color="auto" w:fill="FFFFFF"/>
          <w:lang w:val="en-US"/>
        </w:rPr>
        <w:t>RADIFOCUS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GLIDECATH</w:t>
      </w:r>
      <w:r w:rsidR="00B82599">
        <w:rPr>
          <w:color w:val="000000"/>
          <w:spacing w:val="2"/>
          <w:shd w:val="clear" w:color="auto" w:fill="FFFFFF"/>
        </w:rPr>
        <w:t xml:space="preserve">, </w:t>
      </w:r>
      <w:proofErr w:type="spellStart"/>
      <w:r w:rsidR="00B82599">
        <w:rPr>
          <w:color w:val="000000"/>
          <w:spacing w:val="2"/>
          <w:shd w:val="clear" w:color="auto" w:fill="FFFFFF"/>
        </w:rPr>
        <w:t>Интродьюсер</w:t>
      </w:r>
      <w:proofErr w:type="spellEnd"/>
      <w:r w:rsid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RADIFOCUS</w:t>
      </w:r>
      <w:r w:rsid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INTRODUCER</w:t>
      </w:r>
      <w:r w:rsid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II</w:t>
      </w:r>
      <w:r w:rsidR="00B82599">
        <w:rPr>
          <w:color w:val="000000"/>
          <w:spacing w:val="2"/>
          <w:shd w:val="clear" w:color="auto" w:fill="FFFFFF"/>
        </w:rPr>
        <w:t xml:space="preserve">, Проводник </w:t>
      </w:r>
      <w:r w:rsidR="00B82599">
        <w:rPr>
          <w:color w:val="000000"/>
          <w:spacing w:val="2"/>
          <w:shd w:val="clear" w:color="auto" w:fill="FFFFFF"/>
          <w:lang w:val="en-US"/>
        </w:rPr>
        <w:t>Radifocus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Guide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Wire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M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</w:rPr>
        <w:t xml:space="preserve">длиной (см): 50; 80; 120; 150; 180; 220; 260; 300; 400; 450/Проводник </w:t>
      </w:r>
      <w:r w:rsidR="00B82599">
        <w:rPr>
          <w:color w:val="000000"/>
          <w:spacing w:val="2"/>
          <w:shd w:val="clear" w:color="auto" w:fill="FFFFFF"/>
          <w:lang w:val="en-US"/>
        </w:rPr>
        <w:t>Radifocus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Guide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Wire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M</w:t>
      </w:r>
      <w:r w:rsidR="00B82599">
        <w:rPr>
          <w:color w:val="000000"/>
          <w:spacing w:val="2"/>
          <w:shd w:val="clear" w:color="auto" w:fill="FFFFFF"/>
        </w:rPr>
        <w:t xml:space="preserve">/Проводник </w:t>
      </w:r>
      <w:r w:rsidR="00B82599">
        <w:rPr>
          <w:color w:val="000000"/>
          <w:spacing w:val="2"/>
          <w:shd w:val="clear" w:color="auto" w:fill="FFFFFF"/>
          <w:lang w:val="en-US"/>
        </w:rPr>
        <w:t>RADIFOCUS</w:t>
      </w:r>
      <w:r w:rsid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GUIDE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WIRE</w:t>
      </w:r>
      <w:r w:rsidR="00B82599" w:rsidRPr="00B82599">
        <w:rPr>
          <w:color w:val="000000"/>
          <w:spacing w:val="2"/>
          <w:shd w:val="clear" w:color="auto" w:fill="FFFFFF"/>
        </w:rPr>
        <w:t xml:space="preserve"> </w:t>
      </w:r>
      <w:r w:rsidR="00B82599">
        <w:rPr>
          <w:color w:val="000000"/>
          <w:spacing w:val="2"/>
          <w:shd w:val="clear" w:color="auto" w:fill="FFFFFF"/>
          <w:lang w:val="en-US"/>
        </w:rPr>
        <w:t>M</w:t>
      </w:r>
      <w:r w:rsidR="00B82599">
        <w:rPr>
          <w:color w:val="000000"/>
          <w:spacing w:val="2"/>
          <w:shd w:val="clear" w:color="auto" w:fill="FFFFFF"/>
        </w:rPr>
        <w:t xml:space="preserve"> диаметром 0.0035</w:t>
      </w:r>
      <w:r w:rsidR="00B82599" w:rsidRPr="00B82599">
        <w:rPr>
          <w:color w:val="000000"/>
          <w:spacing w:val="2"/>
          <w:shd w:val="clear" w:color="auto" w:fill="FFFFFF"/>
        </w:rPr>
        <w:t>"</w:t>
      </w:r>
      <w:r w:rsidR="00B82599">
        <w:rPr>
          <w:color w:val="000000"/>
          <w:spacing w:val="2"/>
          <w:shd w:val="clear" w:color="auto" w:fill="FFFFFF"/>
        </w:rPr>
        <w:t xml:space="preserve"> (0.89мм); 0.038</w:t>
      </w:r>
      <w:r w:rsidR="00B82599" w:rsidRPr="00B82599">
        <w:rPr>
          <w:color w:val="000000"/>
          <w:spacing w:val="2"/>
          <w:shd w:val="clear" w:color="auto" w:fill="FFFFFF"/>
        </w:rPr>
        <w:t>"</w:t>
      </w:r>
      <w:r w:rsidR="00B82599">
        <w:rPr>
          <w:color w:val="000000"/>
          <w:spacing w:val="2"/>
          <w:shd w:val="clear" w:color="auto" w:fill="FFFFFF"/>
        </w:rPr>
        <w:t xml:space="preserve"> (0.97мм)</w:t>
      </w:r>
      <w:r w:rsidR="00AB44C9">
        <w:rPr>
          <w:color w:val="000000"/>
          <w:spacing w:val="2"/>
          <w:shd w:val="clear" w:color="auto" w:fill="FFFFFF"/>
        </w:rPr>
        <w:t>, длиной (см): 150; 180; 260</w:t>
      </w:r>
      <w:bookmarkStart w:id="0" w:name="_GoBack"/>
      <w:bookmarkEnd w:id="0"/>
      <w:r w:rsidR="008D2C20">
        <w:rPr>
          <w:color w:val="000000"/>
          <w:spacing w:val="2"/>
          <w:shd w:val="clear" w:color="auto" w:fill="FFFFFF"/>
        </w:rPr>
        <w:t>)</w:t>
      </w:r>
      <w:r w:rsidR="000355A2">
        <w:rPr>
          <w:color w:val="000000"/>
          <w:spacing w:val="2"/>
          <w:shd w:val="clear" w:color="auto" w:fill="FFFFFF"/>
        </w:rPr>
        <w:t xml:space="preserve"> </w:t>
      </w:r>
      <w:r w:rsidR="001F0DF3" w:rsidRPr="00B70A17">
        <w:rPr>
          <w:color w:val="000000"/>
          <w:spacing w:val="2"/>
          <w:shd w:val="clear" w:color="auto" w:fill="FFFFFF"/>
        </w:rPr>
        <w:t xml:space="preserve">- </w:t>
      </w:r>
      <w:r w:rsidR="002038E6">
        <w:rPr>
          <w:color w:val="000000" w:themeColor="text1"/>
          <w:spacing w:val="2"/>
          <w:shd w:val="clear" w:color="auto" w:fill="FFFFFF"/>
        </w:rPr>
        <w:t>согласно п.</w:t>
      </w:r>
      <w:r w:rsidR="008D2C20">
        <w:rPr>
          <w:color w:val="000000" w:themeColor="text1"/>
          <w:spacing w:val="2"/>
          <w:shd w:val="clear" w:color="auto" w:fill="FFFFFF"/>
        </w:rPr>
        <w:t>74</w:t>
      </w:r>
      <w:r w:rsidR="001F0DF3" w:rsidRPr="008F6E34">
        <w:rPr>
          <w:color w:val="FF0000"/>
          <w:spacing w:val="2"/>
          <w:shd w:val="clear" w:color="auto" w:fill="FFFFFF"/>
        </w:rPr>
        <w:t xml:space="preserve"> </w:t>
      </w:r>
      <w:r w:rsidR="001F0DF3" w:rsidRPr="00B70A17">
        <w:rPr>
          <w:color w:val="000000" w:themeColor="text1"/>
          <w:spacing w:val="2"/>
          <w:shd w:val="clear" w:color="auto" w:fill="FFFFFF"/>
        </w:rPr>
        <w:t>Правил</w:t>
      </w:r>
      <w:r w:rsidR="001F0DF3">
        <w:rPr>
          <w:color w:val="000000"/>
        </w:rPr>
        <w:t>;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C32C04" w:rsidRDefault="00C32C04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lastRenderedPageBreak/>
        <w:t>При</w:t>
      </w:r>
      <w:r w:rsidR="005377AD"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90399A">
        <w:rPr>
          <w:b/>
          <w:color w:val="000000"/>
          <w:spacing w:val="2"/>
          <w:shd w:val="clear" w:color="auto" w:fill="FFFFFF"/>
        </w:rPr>
        <w:t>1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9B0B1C" w:rsidRPr="00474AA5">
        <w:rPr>
          <w:bCs/>
          <w:color w:val="000000"/>
        </w:rPr>
        <w:t>АлтайМедика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9B0B1C" w:rsidRPr="00474AA5">
        <w:rPr>
          <w:color w:val="000000"/>
        </w:rPr>
        <w:t xml:space="preserve">31 907 400,00 </w:t>
      </w:r>
      <w:r w:rsidR="0090399A">
        <w:rPr>
          <w:color w:val="000000"/>
          <w:spacing w:val="2"/>
          <w:shd w:val="clear" w:color="auto" w:fill="FFFFFF"/>
        </w:rPr>
        <w:t>тенге.</w:t>
      </w:r>
    </w:p>
    <w:p w:rsidR="005D453F" w:rsidRDefault="005D453F" w:rsidP="003F2CCF"/>
    <w:p w:rsidR="002C57D8" w:rsidRPr="002C57D8" w:rsidRDefault="002C57D8" w:rsidP="002C57D8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C57D8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  <w:t xml:space="preserve">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</w:t>
      </w:r>
      <w:r w:rsidRPr="002C57D8">
        <w:rPr>
          <w:rFonts w:eastAsiaTheme="minorHAnsi"/>
          <w:b/>
          <w:sz w:val="22"/>
          <w:szCs w:val="22"/>
          <w:lang w:eastAsia="en-US"/>
        </w:rPr>
        <w:t xml:space="preserve">    </w:t>
      </w:r>
      <w:proofErr w:type="spellStart"/>
      <w:r w:rsidRPr="002C57D8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2C57D8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2C57D8" w:rsidRPr="002C57D8" w:rsidRDefault="002C57D8" w:rsidP="002C57D8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C57D8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DA2416">
        <w:rPr>
          <w:rFonts w:eastAsiaTheme="minorHAnsi"/>
          <w:sz w:val="22"/>
          <w:szCs w:val="22"/>
          <w:lang w:eastAsia="en-US"/>
        </w:rPr>
        <w:t xml:space="preserve">отпуск - </w:t>
      </w:r>
      <w:proofErr w:type="spellStart"/>
      <w:r w:rsidRPr="002C57D8">
        <w:rPr>
          <w:rFonts w:eastAsiaTheme="minorHAnsi"/>
          <w:sz w:val="22"/>
          <w:szCs w:val="22"/>
          <w:lang w:eastAsia="en-US"/>
        </w:rPr>
        <w:t>Баймусанов</w:t>
      </w:r>
      <w:proofErr w:type="spellEnd"/>
      <w:r w:rsidRPr="002C57D8">
        <w:rPr>
          <w:rFonts w:eastAsiaTheme="minorHAnsi"/>
          <w:sz w:val="22"/>
          <w:szCs w:val="22"/>
          <w:lang w:eastAsia="en-US"/>
        </w:rPr>
        <w:t xml:space="preserve"> А.Н.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>Члены комиссии:</w:t>
      </w:r>
    </w:p>
    <w:p w:rsidR="002C57D8" w:rsidRPr="002C57D8" w:rsidRDefault="002C57D8" w:rsidP="002C57D8">
      <w:pPr>
        <w:jc w:val="both"/>
        <w:rPr>
          <w:sz w:val="22"/>
          <w:szCs w:val="22"/>
        </w:rPr>
      </w:pPr>
      <w:proofErr w:type="spellStart"/>
      <w:r w:rsidRPr="002C57D8">
        <w:rPr>
          <w:sz w:val="22"/>
          <w:szCs w:val="22"/>
        </w:rPr>
        <w:t>Сейтбаев</w:t>
      </w:r>
      <w:proofErr w:type="spellEnd"/>
      <w:r w:rsidRPr="002C57D8">
        <w:rPr>
          <w:sz w:val="22"/>
          <w:szCs w:val="22"/>
        </w:rPr>
        <w:t xml:space="preserve"> Р.Т.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2C57D8">
        <w:rPr>
          <w:sz w:val="22"/>
          <w:szCs w:val="22"/>
        </w:rPr>
        <w:t>Есмуратова</w:t>
      </w:r>
      <w:proofErr w:type="spellEnd"/>
      <w:r w:rsidRPr="002C57D8">
        <w:rPr>
          <w:sz w:val="22"/>
          <w:szCs w:val="22"/>
        </w:rPr>
        <w:t xml:space="preserve"> М.Т.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>Пан А.Б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  <w:t xml:space="preserve">        </w:t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r w:rsidRPr="002C57D8">
        <w:rPr>
          <w:rFonts w:eastAsiaTheme="minorHAnsi"/>
          <w:sz w:val="22"/>
          <w:szCs w:val="22"/>
          <w:lang w:eastAsia="en-US"/>
        </w:rPr>
        <w:t xml:space="preserve">       Корженко О.О.</w:t>
      </w:r>
    </w:p>
    <w:p w:rsidR="00486A3C" w:rsidRPr="003F2CCF" w:rsidRDefault="00486A3C" w:rsidP="002C57D8">
      <w:pPr>
        <w:jc w:val="both"/>
      </w:pP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355A2"/>
    <w:rsid w:val="0004609D"/>
    <w:rsid w:val="000517A4"/>
    <w:rsid w:val="00057E03"/>
    <w:rsid w:val="0008351B"/>
    <w:rsid w:val="00090059"/>
    <w:rsid w:val="00090699"/>
    <w:rsid w:val="000A3CA9"/>
    <w:rsid w:val="000B4842"/>
    <w:rsid w:val="00144E82"/>
    <w:rsid w:val="001873D8"/>
    <w:rsid w:val="001E0FE4"/>
    <w:rsid w:val="001F0DF3"/>
    <w:rsid w:val="001F4708"/>
    <w:rsid w:val="002038E6"/>
    <w:rsid w:val="00242996"/>
    <w:rsid w:val="00244D6E"/>
    <w:rsid w:val="002846DE"/>
    <w:rsid w:val="00285A04"/>
    <w:rsid w:val="002A1758"/>
    <w:rsid w:val="002C2788"/>
    <w:rsid w:val="002C57D8"/>
    <w:rsid w:val="002E1FED"/>
    <w:rsid w:val="003262A0"/>
    <w:rsid w:val="003321D5"/>
    <w:rsid w:val="003830BD"/>
    <w:rsid w:val="003C03EF"/>
    <w:rsid w:val="003C5CA8"/>
    <w:rsid w:val="003C650B"/>
    <w:rsid w:val="003E57CF"/>
    <w:rsid w:val="003F2CCF"/>
    <w:rsid w:val="003F390F"/>
    <w:rsid w:val="003F3E01"/>
    <w:rsid w:val="00417BC7"/>
    <w:rsid w:val="00420378"/>
    <w:rsid w:val="00420A23"/>
    <w:rsid w:val="00441185"/>
    <w:rsid w:val="004543C3"/>
    <w:rsid w:val="00486A3C"/>
    <w:rsid w:val="004924CA"/>
    <w:rsid w:val="004C3CF2"/>
    <w:rsid w:val="004E32B5"/>
    <w:rsid w:val="004E536F"/>
    <w:rsid w:val="004F2038"/>
    <w:rsid w:val="00526641"/>
    <w:rsid w:val="005377AD"/>
    <w:rsid w:val="0055039E"/>
    <w:rsid w:val="005557F7"/>
    <w:rsid w:val="0059233F"/>
    <w:rsid w:val="005B7760"/>
    <w:rsid w:val="005C53EB"/>
    <w:rsid w:val="005C67B3"/>
    <w:rsid w:val="005C6D5A"/>
    <w:rsid w:val="005D453F"/>
    <w:rsid w:val="0060333C"/>
    <w:rsid w:val="00640BF3"/>
    <w:rsid w:val="0064350B"/>
    <w:rsid w:val="00650E53"/>
    <w:rsid w:val="006600F4"/>
    <w:rsid w:val="00673E9C"/>
    <w:rsid w:val="006E4E2A"/>
    <w:rsid w:val="00745326"/>
    <w:rsid w:val="0075072C"/>
    <w:rsid w:val="007571FC"/>
    <w:rsid w:val="00757346"/>
    <w:rsid w:val="00775988"/>
    <w:rsid w:val="00790873"/>
    <w:rsid w:val="007C74E6"/>
    <w:rsid w:val="0081071F"/>
    <w:rsid w:val="00833A83"/>
    <w:rsid w:val="00834382"/>
    <w:rsid w:val="008447AC"/>
    <w:rsid w:val="00854084"/>
    <w:rsid w:val="00885201"/>
    <w:rsid w:val="00896C23"/>
    <w:rsid w:val="008A556C"/>
    <w:rsid w:val="008A6C9D"/>
    <w:rsid w:val="008C2BEA"/>
    <w:rsid w:val="008D0F3C"/>
    <w:rsid w:val="008D2C20"/>
    <w:rsid w:val="008D6513"/>
    <w:rsid w:val="008F6E34"/>
    <w:rsid w:val="0090399A"/>
    <w:rsid w:val="009201B6"/>
    <w:rsid w:val="00930430"/>
    <w:rsid w:val="00983F9A"/>
    <w:rsid w:val="00995A88"/>
    <w:rsid w:val="00996A64"/>
    <w:rsid w:val="009A62CB"/>
    <w:rsid w:val="009B0B1C"/>
    <w:rsid w:val="009C5BEC"/>
    <w:rsid w:val="00A20466"/>
    <w:rsid w:val="00A20631"/>
    <w:rsid w:val="00A31D7E"/>
    <w:rsid w:val="00A31F6E"/>
    <w:rsid w:val="00A52A5A"/>
    <w:rsid w:val="00A74CB3"/>
    <w:rsid w:val="00AB44C9"/>
    <w:rsid w:val="00AB4CD1"/>
    <w:rsid w:val="00AE034F"/>
    <w:rsid w:val="00B22599"/>
    <w:rsid w:val="00B25D68"/>
    <w:rsid w:val="00B34726"/>
    <w:rsid w:val="00B44F0C"/>
    <w:rsid w:val="00B53064"/>
    <w:rsid w:val="00B648B2"/>
    <w:rsid w:val="00B64F2C"/>
    <w:rsid w:val="00B77306"/>
    <w:rsid w:val="00B82599"/>
    <w:rsid w:val="00B9187A"/>
    <w:rsid w:val="00C32C04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A2416"/>
    <w:rsid w:val="00DB232B"/>
    <w:rsid w:val="00E01FAF"/>
    <w:rsid w:val="00E14110"/>
    <w:rsid w:val="00E24EB2"/>
    <w:rsid w:val="00E76F51"/>
    <w:rsid w:val="00E81757"/>
    <w:rsid w:val="00E86A83"/>
    <w:rsid w:val="00E92911"/>
    <w:rsid w:val="00E9347A"/>
    <w:rsid w:val="00E937AF"/>
    <w:rsid w:val="00EA4D8F"/>
    <w:rsid w:val="00EB55B9"/>
    <w:rsid w:val="00F422F7"/>
    <w:rsid w:val="00F4507C"/>
    <w:rsid w:val="00F61089"/>
    <w:rsid w:val="00F83846"/>
    <w:rsid w:val="00F94B3B"/>
    <w:rsid w:val="00F96D7F"/>
    <w:rsid w:val="00FA0351"/>
    <w:rsid w:val="00FA369B"/>
    <w:rsid w:val="00FA4A5F"/>
    <w:rsid w:val="00FB666F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AF9F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2022-03-24T10:59:00Z</cp:lastPrinted>
  <dcterms:created xsi:type="dcterms:W3CDTF">2022-03-25T06:33:00Z</dcterms:created>
  <dcterms:modified xsi:type="dcterms:W3CDTF">2022-03-25T06:58:00Z</dcterms:modified>
</cp:coreProperties>
</file>