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«Утверждаю»</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И.о. директора КГП на ПХВ Восточно-            Казахстанский областной Многопрофильный</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«Центр Онкологии и Хирургии» УЗ ВКО</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 А. Кухарева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Приказ № 217-П</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 «28» августа 2023 года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ТЕНДЕРНАЯ ДОКУМЕНТАЦИЯ</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Организатор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УЗ ВКО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Место нахождения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070003 ВКО г. Усть-Каменогорск, ул. Серикбаева, 1</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Реквизиты</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БИН 990340002536</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ИИК KZ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KZ7596504F0007919708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(KZT)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БИК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IRTYKZKA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АО "ForteBank"</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Представитель организатора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Корженко О.О., тел: 8(7232) 70-00-62</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Тендер проводится в соответствии Приказом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далее - Правила)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целью выбора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поставщиков по следующим лотам:</w:t>
      </w:r>
      <w:r w:rsidDel="00000000" w:rsidR="00000000" w:rsidRPr="00000000">
        <w:rPr>
          <w:rtl w:val="0"/>
        </w:rPr>
      </w:r>
    </w:p>
    <w:tbl>
      <w:tblPr>
        <w:tblStyle w:val="Table1"/>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1417"/>
        <w:gridCol w:w="2550"/>
        <w:gridCol w:w="997"/>
        <w:gridCol w:w="844"/>
        <w:gridCol w:w="1418"/>
        <w:gridCol w:w="1564"/>
        <w:tblGridChange w:id="0">
          <w:tblGrid>
            <w:gridCol w:w="708"/>
            <w:gridCol w:w="1417"/>
            <w:gridCol w:w="2550"/>
            <w:gridCol w:w="997"/>
            <w:gridCol w:w="844"/>
            <w:gridCol w:w="1418"/>
            <w:gridCol w:w="1564"/>
          </w:tblGrid>
        </w:tblGridChange>
      </w:tblGrid>
      <w:tr>
        <w:trPr>
          <w:cantSplit w:val="0"/>
          <w:trHeight w:val="981" w:hRule="atLeast"/>
          <w:tblHeader w:val="0"/>
        </w:trPr>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лота</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Наименование лота</w:t>
            </w: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Техническая характеристика</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Ед.изм</w:t>
            </w: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Количество</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Цена</w:t>
            </w: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Сумма, тенге</w:t>
            </w:r>
            <w:r w:rsidDel="00000000" w:rsidR="00000000" w:rsidRPr="00000000">
              <w:rPr>
                <w:rtl w:val="0"/>
              </w:rPr>
            </w:r>
          </w:p>
        </w:tc>
      </w:tr>
      <w:tr>
        <w:trPr>
          <w:cantSplit w:val="0"/>
          <w:trHeight w:val="250" w:hRule="atLeast"/>
          <w:tblHeader w:val="0"/>
        </w:trPr>
        <w:tc>
          <w:tcPr>
            <w:gridSpan w:val="7"/>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Медицинские изделия</w:t>
            </w:r>
            <w:r w:rsidDel="00000000" w:rsidR="00000000" w:rsidRPr="00000000">
              <w:rPr>
                <w:rtl w:val="0"/>
              </w:rPr>
            </w:r>
          </w:p>
        </w:tc>
      </w:tr>
      <w:tr>
        <w:trPr>
          <w:cantSplit w:val="0"/>
          <w:trHeight w:val="242" w:hRule="atLeast"/>
          <w:tblHeader w:val="0"/>
        </w:trPr>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Цистонефрофиброскоп</w:t>
            </w:r>
          </w:p>
        </w:tc>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Угол поля зрения 120°. Направление обзора 0°. Глубина резкости 3 – 50 мм. Наружный диаметр дистального конца 11,7 Фр. (4,6 мм). Наружный диаметр вводимой части 16,5 Фр. (5,5 мм). Рабочая длина 380 мм. Диаметр внутреннего канала 7,2 Фр. (2,4 мм). Минимальное расстояние видимости 5 мм. Диапазон угла отклонения 210° вверх, 120° вниз. Общая длина 700 мм. Совместим с видеоэндоскопическим комплексом Olympus</w:t>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6 747 971,00   </w:t>
            </w:r>
          </w:p>
        </w:tc>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6 747 971,00   </w:t>
            </w:r>
          </w:p>
        </w:tc>
      </w:tr>
      <w:tr>
        <w:trPr>
          <w:cantSplit w:val="0"/>
          <w:trHeight w:val="242" w:hRule="atLeast"/>
          <w:tblHeader w:val="0"/>
        </w:trPr>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Контейнер для инструментов, контейнер стерилизационный </w:t>
              <w:br w:type="textWrapping"/>
              <w:t xml:space="preserve">размеры: 531 x 79 x 255  мм</w:t>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Контейнер для инструментов,для гибких эндоскопов, наружные размеры: 531 x 79 x 255 мм. Совместим с видеоэндоскопическим комплексом Olympus</w:t>
            </w:r>
          </w:p>
        </w:tc>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1 066 613,00   </w:t>
            </w:r>
          </w:p>
        </w:tc>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1 066 613,00   </w:t>
            </w:r>
          </w:p>
        </w:tc>
      </w:tr>
      <w:tr>
        <w:trPr>
          <w:cantSplit w:val="0"/>
          <w:trHeight w:val="242" w:hRule="atLeast"/>
          <w:tblHeader w:val="0"/>
        </w:trPr>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Течеискатель</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Течеискатель, механический, для проверки гибких эндоскопов на герметичность. Конструкция состоит из резиновой груши для ручного накачивания воздуха, манометра с градуированной шкалой, соединительного коннектора. Совместим с видеоэндоскопическим комплексом Olympus</w:t>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227 749,00   </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227 749,00   </w:t>
            </w:r>
          </w:p>
        </w:tc>
      </w:tr>
      <w:tr>
        <w:trPr>
          <w:cantSplit w:val="0"/>
          <w:trHeight w:val="242"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Клапан аспирации</w:t>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Клапан аспирации совместим с видеоэндоскопическим комплексом Olympus</w:t>
            </w:r>
          </w:p>
        </w:tc>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110 791,00   </w:t>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110 791,00   </w:t>
            </w:r>
          </w:p>
        </w:tc>
      </w:tr>
      <w:tr>
        <w:trPr>
          <w:cantSplit w:val="0"/>
          <w:trHeight w:val="242" w:hRule="atLeast"/>
          <w:tblHeader w:val="0"/>
        </w:trPr>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Захватывающие щипцы, гибкие, 5 Фр. x 640 мм, в варианте: зубчатые для удаления камней, с возвратной пружиной</w:t>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Захватывающие щипцы, гибкие, 5 Фр. x 640 мм, в варианте: зубчатые для удаления камней, с возвратной пружиной. Совместим с видеоэндоскопическим комплексом Olympus</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449 653,00   </w:t>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449 653,00   </w:t>
            </w:r>
          </w:p>
        </w:tc>
      </w:tr>
      <w:tr>
        <w:trPr>
          <w:cantSplit w:val="0"/>
          <w:trHeight w:val="242" w:hRule="atLeast"/>
          <w:tblHeader w:val="0"/>
        </w:trPr>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Захватывающие щипцы, гибкие, 5 Фр. x 640 мм, в варианте: крысиный зуб для удаления камней, с возвратной пружиной</w:t>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Захватывающие щипцы, 5 Фр. x 640 мм, открывающиеся с обеих сторон, типа «крысиный зуб»для удаления камней, с возвратной пружиной. Совместим с видеоэндоскопическим комплексом Olympus</w:t>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669 170,00   </w:t>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669 170,00   </w:t>
            </w:r>
          </w:p>
        </w:tc>
      </w:tr>
      <w:tr>
        <w:trPr>
          <w:cantSplit w:val="0"/>
          <w:trHeight w:val="242" w:hRule="atLeast"/>
          <w:tblHeader w:val="0"/>
        </w:trPr>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Биопсийные щипцы гибкие, 5 Фр. x 640 мм, для биопсии, с возвратной пружиной</w:t>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Биопсийные щипцы, 5 Фр. x 640 мм, открывающиеся с обеих сторон, гибкие, для биопсии, с возвратной пружиной. Совместим с видеоэндоскопическим комплексом Olympus</w:t>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393 523,00   </w:t>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393 523,00   </w:t>
            </w:r>
          </w:p>
        </w:tc>
      </w:tr>
      <w:tr>
        <w:trPr>
          <w:cantSplit w:val="0"/>
          <w:trHeight w:val="242" w:hRule="atLeast"/>
          <w:tblHeader w:val="0"/>
        </w:trPr>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Источник света</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Галогеновая лампа с отражателем, 15В, 150 Вт Срок службы лампы 50 часов (при номинальном напряжении) Регулировка уровня света Ручная плавная Цветовая температура Эквивалентна 3250°K Подача воздуха Насос Электромагнитный. Развиваемое давление 0.3-0.6 кг/кв.см (при нулевом потоке); 0.18 кг/кв.см или ниже (при потоке 2000 мл в мин) Подача воды: Метод Нагнетание воздуха в водный контейнер. Тип и степень защиты от поражения электрическим током Класс I, тип BF Электропитание Напряжение 220-240 В ± 10% Частота электротока 50/60 Гц Потребляемый ток 1 А (при 220-240 В) Размеры и вес Размеры 186 мм (ширина) х 151 мм(высота) х 270 мм (глубина) Вес 6 кг.  Совместим с видеоэндоскопическим комплексом Olympus</w:t>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1 215 146,00   </w:t>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1 215 146,00   </w:t>
            </w:r>
          </w:p>
        </w:tc>
      </w:tr>
      <w:tr>
        <w:trPr>
          <w:cantSplit w:val="0"/>
          <w:trHeight w:val="242" w:hRule="atLeast"/>
          <w:tblHeader w:val="0"/>
        </w:trPr>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Световодный кабель 2,8ммх3м</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Световодный кабель для подключения к источнику света медицинских систем. -Диаметр 2,8 мм. -Длина: 3 м. Tип: CF. Совместим с видеоэндоскопическим комплексом Olympus</w:t>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455 877,00   </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455 877,00   </w:t>
            </w:r>
          </w:p>
        </w:tc>
      </w:tr>
      <w:tr>
        <w:trPr>
          <w:cantSplit w:val="0"/>
          <w:trHeight w:val="242" w:hRule="atLeast"/>
          <w:tblHeader w:val="0"/>
        </w:trPr>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Рабочая часть (вставка) в варианте исполнения: биполярная 330мм</w:t>
            </w:r>
          </w:p>
        </w:tc>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Рабочая часть для инструмента торакоскопического/лапароскопического.Биполярный.Длина рабочей части : 330 мм.Диаметр браншей  5.0 мм. Форма браншей - щипцы окончатые. Длина браншей 17 мм.Атравматические зубчики по краям обеих браншей. Обе бранши подвижные (двухходовые). Механизм открытия браншей CAM, оптимальный для передачи усилия при закрытии браншей. Электроизоляционная вставка между браншами из невоспламеняемого материала (фторопласт).Изоляция штока рабочей части из пластика повышенной прочности и износостойкости, материал PEEK. Материал конструкции рабочей части Нерж. сталь. Многоразовый инструмент. Автоклавируемый. Совместим с видеоэндоскопическим комплексом Olympus</w:t>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555 284,00   </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1 665 852,00</w:t>
            </w:r>
          </w:p>
        </w:tc>
      </w:tr>
      <w:tr>
        <w:trPr>
          <w:cantSplit w:val="0"/>
          <w:trHeight w:val="242" w:hRule="atLeast"/>
          <w:tblHeader w:val="0"/>
        </w:trPr>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Тубус изолированный биполярный 5х330мм</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Тубус для инструмента лапароскопического.Биполярный. Длина рабочей части: 330 мм.Диаметр рабочей части 5 мм.Втулка  для вращения тубуса пальцем.Количество лепестков для вращения на втулке: 5. Кнопка для фиксации соединения рабочей части и рукоятки.Цветовая кодировка биполярного инструмента. Материал конструкции тубуса Нерж. сталь. Материал изоляции тубуса PEEK . Многоразовый инструмент.Автоклавируемый. Совместим с видеоэндоскопическим комплексом Olympus</w:t>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315 315,00   </w:t>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1 891 890,00</w:t>
            </w:r>
          </w:p>
        </w:tc>
      </w:tr>
      <w:tr>
        <w:trPr>
          <w:cantSplit w:val="0"/>
          <w:trHeight w:val="242" w:hRule="atLeast"/>
          <w:tblHeader w:val="0"/>
        </w:trPr>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Рукоятка в варианте исполнения: биполярная</w:t>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Ручка для инструмента, биполярная.Ручка для инструмента торакоскопического/лапароскопического.Упор для четырех пальцев на неподвижной части рукоятки.Кольцевидный упор для большого пальца увеличенной площади.Биполярное соединение, расположенное на верхней части рукоятки.Коаксиальное расположение контактов биполярного соединения.Механизм соединения ручки с тубусом и рабочей частью в один шаг, с кликом.Размер рукоятки L, для кисти большого размера (размер 8 (M) и более).Материал конструкции ручки PEEK.Многоразовый инструмент. Автоклавируемый. Совместим с видеоэндоскопическим комплексом Olympus</w:t>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230 471,00   </w:t>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1 382 826,00</w:t>
            </w:r>
          </w:p>
        </w:tc>
      </w:tr>
      <w:tr>
        <w:trPr>
          <w:cantSplit w:val="0"/>
          <w:trHeight w:val="242" w:hRule="atLeast"/>
          <w:tblHeader w:val="0"/>
        </w:trPr>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Рабочая часть (вставка) в варианте исполнения: биполярная 330мм</w:t>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Рабочая часть для инструмента торакоскопического/лапароскопического.</w:t>
              <w:br w:type="textWrapping"/>
              <w:t xml:space="preserve">Биполярный. Длина рабочей части: 330 мм.Диаметр браншей 5.0 мм. Форма браншей - щипцы прямые с просветом. Длина браншей 14 мм.Атравматические зубчики по переднему краяю обеих браншей.Обе бранши подвижные (двухходовые). Механизм открытия браншей CAM, оптимальный для передачи усилия при закрытии браншей.Электроизоляционная вставка между браншами из невоспламеняемого материала (фторопласт).Изоляция штока рабочей части из пластика повышенной прочности и износостойкости, материал PEEK.Материал конструкции рабочей части Нерж. сталь.Многоразовый инструмент. Автоклавируемый. Совместим с видеоэндоскопическим комплексом Olympus</w:t>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555 284,00   </w:t>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1 665 852,00</w:t>
            </w:r>
          </w:p>
        </w:tc>
      </w:tr>
      <w:tr>
        <w:trPr>
          <w:cantSplit w:val="0"/>
          <w:trHeight w:val="242" w:hRule="atLeast"/>
          <w:tblHeader w:val="0"/>
        </w:trPr>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Рукоятка в варианте исполнения: монополярная</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Ручка для инструмента, монополярная.Ручка для инструмента торакоскопического/лапароскопичесого.Упор для четырех пальцев на неподвижной части рукоятки.Кольцевидный упор для большого пальца увеличенной площади.Монополярное соединение, расположенное на верхней части рукоятки.Диаметр монополярного соединения 4мм.Механизм соединения ручки с тубусом и рабочей частью в один шаг, с кликом.Размер рукоятки L, для кисти большого размера (размер 8 (M) и более).Материал конструкции ручки: PEEK.Многоразовый инструмент.Автоклавируемый. Совместим с видеоэндоскопическим комплексом Olympus</w:t>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162 090,00   </w:t>
            </w:r>
          </w:p>
        </w:tc>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486 270,00</w:t>
            </w:r>
          </w:p>
        </w:tc>
      </w:tr>
      <w:tr>
        <w:trPr>
          <w:cantSplit w:val="0"/>
          <w:trHeight w:val="242" w:hRule="atLeast"/>
          <w:tblHeader w:val="0"/>
        </w:trPr>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Рукоятка, комплект, с рычажным управлением функцией аспирации, аспирационным каналом 8мм, для использования с шиберными насосами, управляемыми давлением</w:t>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Рукоятка, с управлением функцией аспирации/ирригации. Для трубок диаметром 3мм; 5мм; 10мм. Резьбовое соединение с трубками аспирации/ирригации. Соединение типа "елочка" для подключения к шлангам аспирации/ирригации. Разборный механизм переключения аспирация/ирригация для чистки и обслуживания. Переключение режимов аспирация/ирригация производится путем перемещения большим пальцем руки рычажка на верхней торцевой части рукоятки вниз/вверх.  Совместим с видеоэндоскопическим комплексом Olympus</w:t>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254 531,00   </w:t>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254 531,00   </w:t>
            </w:r>
          </w:p>
        </w:tc>
      </w:tr>
      <w:tr>
        <w:trPr>
          <w:cantSplit w:val="0"/>
          <w:trHeight w:val="242" w:hRule="atLeast"/>
          <w:tblHeader w:val="0"/>
        </w:trPr>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Аспирационная/промывочная трубка в вариантах исполнения: 5х330мм</w:t>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Аспирационная/промывочная трубка. Диаметр 5мм. Длина не менее 330 мм.Боковые отверстия на дистальном конце. Резьбовое соединение с рукояткой управления аспирацией/ирригацией. Материал-нерж.сталь.Совместим с видеоэндоскопическим комплексом Olympus</w:t>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47 487,00   </w:t>
            </w:r>
          </w:p>
        </w:tc>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47 487,00   </w:t>
            </w:r>
          </w:p>
        </w:tc>
      </w:tr>
      <w:tr>
        <w:trPr>
          <w:cantSplit w:val="0"/>
          <w:trHeight w:val="242" w:hRule="atLeast"/>
          <w:tblHeader w:val="0"/>
        </w:trPr>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Передвижная напольная стойка с режимом</w:t>
              <w:br w:type="textWrapping"/>
              <w:t xml:space="preserve">«хэндс-фри» для системы визуализации вен AccuVein AV50</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Мобильная стойка на гладких колесах со стопорным механизмом. Наличие шарового рычага. C помощью шарового рычага позволяет точно расположить систему , чтобы сохранить визуализацию выбранной вены, с регулировкой в трех плоскостях и под разным углом. Совместно с креплением интегрировано зарядное устройство для системы визуализации вен. Наличие на основной стоке глубокого лотка для принадлежностей. Наличие двух подвижных соединения для регулировки по высоте, и  два для регулировки в горизонтальной плоскости. Габариты стойки 46х46х110 см. Вылет регулировки штатива по высоте 35 см. Радиус перемещения рычагов по горизонтали от 10 до 110 см. Размеры лотка не менее 12х20х30 см</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810 000,00   </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2 430 000,00</w:t>
            </w:r>
          </w:p>
        </w:tc>
      </w:tr>
      <w:tr>
        <w:trPr>
          <w:cantSplit w:val="0"/>
          <w:trHeight w:val="242" w:hRule="atLeast"/>
          <w:tblHeader w:val="0"/>
        </w:trPr>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p>
        </w:tc>
        <w:tc>
          <w:tcP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СТАНДАРТНЫЕ ХИРУРГИЧЕСКИЕ, ПРЯМЫЕ,14,5 СМ</w:t>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стандартные хирургические. Предназначены для рассечения мягких тканей. Общая длина не менее 14.5 см и не более 14,7 мсм Рабочие части остро/тупоконечные прямые.Материал изготовления: высоколигированная нержавеющая сталь высокого качества в антибликовом (матовом) исполнении.Диапазон твердости по шкале Роквелла: 42-47 HRC.Наличие на инструменте маркировки, нанесенной методом лазерной гравировки, устойчивой при многократном проведении процессов дезинфекции и стерилизации, с указанием артикула, производителя, номера серии.Наличие на инструменте матричного кода, нанесённого методом лазерной гравировки, включающего информацию: каталожный номер инструмента, индивидуальный номер инструмента, дату производства, завод изготовителя.Индивидуальная упаковка, с полными данными о производителе, номере серии, партии.Инструмент многоразового использования. Инструмент пассивирован</w:t>
            </w:r>
          </w:p>
        </w:tc>
        <w:tc>
          <w:tcP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20 000,00   </w:t>
            </w:r>
          </w:p>
        </w:tc>
        <w:tc>
          <w:tcP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400 000,00</w:t>
            </w:r>
          </w:p>
        </w:tc>
      </w:tr>
      <w:tr>
        <w:trPr>
          <w:cantSplit w:val="0"/>
          <w:trHeight w:val="242" w:hRule="atLeast"/>
          <w:tblHeader w:val="0"/>
        </w:trPr>
        <w:tc>
          <w:tcP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p>
        </w:tc>
        <w:tc>
          <w:tcP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ДЕЛИКАТНЫЕ , ИЗОГНУТЫЕ, 18 СМ</w:t>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диссекционные Тип по METZENBAUM TUC</w:t>
              <w:br w:type="textWrapping"/>
              <w:t xml:space="preserve">Предназначены для рассечения мягких тканей. Общая длина 18 см</w:t>
              <w:br w:type="textWrapping"/>
              <w:t xml:space="preserve">Рабочие части тупоконечные изогнутые. Золотые кольца для легкой идентификации. Наличие карбидовольфрамовых вкраплений на рабочих частях. Материал изготовления: высоколигированная нержавеющая сталь высокого качества в антибликовом (матовом) исполнении. Диапазон твердости по шкале Роквелла: 42-47 HRC.</w:t>
              <w:br w:type="textWrapping"/>
              <w:t xml:space="preserve">Наличие на инструменте маркировки, нанесенной методом лазерной гравировки, устойчивой при многократном проведении процессов дезинфекции и стерилизации, с указанием артикула, производителя, номера серии. Наличие на инструменте матричного кода, нанесённого методом лазерной гравировки, включающего информацию: каталожный номер инструмента, индивидуальный номер инструмента, дату производства, завод изготовителя.</w:t>
              <w:br w:type="textWrapping"/>
              <w:t xml:space="preserve">Индивидуальная упаковка, с полными данными о производителе, номере серии, партии. Инструмент многоразового использования. Инструмент пассивирован</w:t>
            </w:r>
          </w:p>
        </w:tc>
        <w:tc>
          <w:tcP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80 000,00   </w:t>
            </w:r>
          </w:p>
        </w:tc>
        <w:tc>
          <w:tcP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1 600 000,00</w:t>
            </w:r>
          </w:p>
        </w:tc>
      </w:tr>
      <w:tr>
        <w:trPr>
          <w:cantSplit w:val="0"/>
          <w:trHeight w:val="242" w:hRule="atLeast"/>
          <w:tblHeader w:val="0"/>
        </w:trPr>
        <w:tc>
          <w:tcP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СТАНДАРТНЫЕ ХИРУРГИЧЕСКИЕ , ПРЯМЫЕ , 14,5 СМ</w:t>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стандартные хирургические тип TUC Предназначены для рассечения мягких тканей. Общая длина не менее 14.5 см не более 14,7 мсм Рабочие части остро/тупоконечные прямые. Наличие карбидовольфрамовых вкраплений на рабочих частях.</w:t>
              <w:br w:type="textWrapping"/>
              <w:t xml:space="preserve">Материал изготовления: высоколигированная нержавеющая сталь высокого качества в антибликовом (матовом) исполнении.</w:t>
              <w:br w:type="textWrapping"/>
              <w:t xml:space="preserve">Диапазон твердости по шкале Роквелла: 42-47 HRC.</w:t>
              <w:br w:type="textWrapping"/>
              <w:t xml:space="preserve">Наличие на инструменте маркировки, нанесенной методом лазерной гравировки, устойчивой при многократном проведении процессов дезинфекции и стерилизации, с указанием артикула, производителя, номера серии. Наличие на инструменте матричного кода (QR- Code), нанесённого методом лазерной гравировки, включающего информацию: каталожный номер инструмента, индивидуальный номер инструмента, дату производства, завод изготовителя. Индивидуальная упаковка, с полными данными о производителе, номере серии, партии. Инструмент многоразового использования. Инструмент пассивирован</w:t>
            </w:r>
          </w:p>
        </w:tc>
        <w:tc>
          <w:tcP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70 000,00   </w:t>
            </w:r>
          </w:p>
        </w:tc>
        <w:tc>
          <w:tcP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1 400 000,00</w:t>
            </w:r>
          </w:p>
        </w:tc>
      </w:tr>
      <w:tr>
        <w:trPr>
          <w:cantSplit w:val="0"/>
          <w:trHeight w:val="242" w:hRule="atLeast"/>
          <w:tblHeader w:val="0"/>
        </w:trPr>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p>
        </w:tc>
        <w:tc>
          <w:tcP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ТУПОКОНЕЧНЫЕ, ИЗОГНУТЫЕ 23СМ</w:t>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диссекционные/лигатурные Тип по METZENBAUM TUCПредназначены для рассечения мягких тканей. Общая длина 23 смРабочие части тупоконечные изогнутые. Ножницы имеют форму бритвы. Наличие карбидовольфрамовых вкраплений на рабочих</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частях. Лезвие в сочетании с одним лезвием с микрозазубринами. Черные/золотые кольца для легкой идентификацииМатериал изготовления: высоколигированная нержавеющая сталь высокого качества в антибликовом (матовом) исполнении.Диапазон твердости по шкале</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Роквелла: 42-47 HRC.Наличие на инструменте маркировки, нанесенной методом лазерной гравировки, устойчивой при многократном проведении процессов дезинфекции и      стерилизации,      с      указанием      артикула,производителя, номера серии. Наличие на инструменте матричного кода (QR- Code), нанесённого методом лазерной гравировки, включающего информацию: каталожный номер инструмента, индивидуальный номер инструмента, дату производства, завод изготовителя.Индивидуальная упаковка, с полными данными о производителе, номере серии, партии. Инструмент многоразового использования. Инструмент пассивирован</w:t>
            </w:r>
          </w:p>
        </w:tc>
        <w:tc>
          <w:tcP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152 000,00   </w:t>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3 040 000,00</w:t>
            </w:r>
          </w:p>
        </w:tc>
      </w:tr>
      <w:tr>
        <w:trPr>
          <w:cantSplit w:val="0"/>
          <w:trHeight w:val="242" w:hRule="atLeast"/>
          <w:tblHeader w:val="0"/>
        </w:trPr>
        <w:tc>
          <w:tcP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p>
        </w:tc>
        <w:tc>
          <w:tcP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ТУПОКОНЕЧНЫЕ, ИЗОГНУТЫЕ 18СМ</w:t>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Ножницы диссекционные/лигатурные Тип по METZENBAUM TUC</w:t>
              <w:br w:type="textWrapping"/>
              <w:t xml:space="preserve">Предназначены для рассечения мягких тканей. Общая длина 18 см</w:t>
              <w:br w:type="textWrapping"/>
              <w:t xml:space="preserve">Рабочие части тупоконечные изогнутые. Ножницы  имеют форму бритвы. Наличие карбидовольфрамовых вкраплений на рабочих частях. Лезвие в сочетании с одним лезвием с микрозазубринами. Черные/золотые кольца для легкой идентификации</w:t>
              <w:br w:type="textWrapping"/>
              <w:t xml:space="preserve">Материал изготовления: высоколигированная нержавеющая сталь высокого качества в антибликовом (матовом) исполнении.</w:t>
              <w:br w:type="textWrapping"/>
              <w:t xml:space="preserve">Диапазон твердости по шкале Роквелла: 42-47 HRC.</w:t>
              <w:br w:type="textWrapping"/>
              <w:t xml:space="preserve">Наличие на инструменте маркировки, нанесенной методом лазерной гравировки, устойчивой при многократном проведении процессов дезинфекции и стерилизации, с указанием артикула, производителя, номера серии. Наличие на инструменте матричного кода (QR- Code), нанесённого методом лазерной гравировки, включающего информацию: каталожный номер инструмента, индивидуальный номер инструмента, дату производства, завод изготовителя. Индивидуальная упаковка, с полными данными о производителе, номере серии, партии. Инструмент многоразового использования.</w:t>
            </w:r>
          </w:p>
        </w:tc>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36 000,00   </w:t>
            </w:r>
          </w:p>
        </w:tc>
        <w:tc>
          <w:tcP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720 000,00</w:t>
            </w:r>
          </w:p>
        </w:tc>
      </w:tr>
      <w:tr>
        <w:trPr>
          <w:cantSplit w:val="0"/>
          <w:trHeight w:val="242" w:hRule="atLeast"/>
          <w:tblHeader w:val="0"/>
        </w:trPr>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w:t>
            </w:r>
          </w:p>
        </w:tc>
        <w:tc>
          <w:tcP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ПИНЦЕТ, 16 CM</w:t>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Пинцет пластинчатый биполярный, 16 см, профиль пинцета прямой, тип наконечника острый, рабочая часть 1.0 мм / 2.0 мм, </w:t>
              <w:br w:type="textWrapping"/>
              <w:t xml:space="preserve">профиль пинцета прямой</w:t>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328 440,00   </w:t>
            </w:r>
          </w:p>
        </w:tc>
        <w:tc>
          <w:tcP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1 970 640,00</w:t>
            </w:r>
          </w:p>
        </w:tc>
      </w:tr>
      <w:tr>
        <w:trPr>
          <w:cantSplit w:val="0"/>
          <w:trHeight w:val="242" w:hRule="atLeast"/>
          <w:tblHeader w:val="0"/>
        </w:trPr>
        <w:tc>
          <w:tcP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w:t>
            </w:r>
          </w:p>
        </w:tc>
        <w:tc>
          <w:tcP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ПИНЦЕТ, 22,0 CM</w:t>
            </w:r>
          </w:p>
        </w:tc>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Пинцет пластинчатый биполярный, 22 см, профиль пинцета прямой, тип наконечника острый, рабочая часть 1.0 мм / 2.0 мм, </w:t>
              <w:br w:type="textWrapping"/>
              <w:t xml:space="preserve">профиль пинцета прямой</w:t>
            </w:r>
          </w:p>
        </w:tc>
        <w:tc>
          <w:tcP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328 440,00   </w:t>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4 926 600,00</w:t>
            </w:r>
          </w:p>
        </w:tc>
      </w:tr>
      <w:tr>
        <w:trPr>
          <w:cantSplit w:val="0"/>
          <w:trHeight w:val="242" w:hRule="atLeast"/>
          <w:tblHeader w:val="0"/>
        </w:trPr>
        <w:tc>
          <w:tcP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Кабель подключения (кабель соединительный)</w:t>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Кабель для использования с двухсекционными нейтральными электродами пациента. Штекер для подключения к генератору. Длина 3м. Совместимый с электрохирургическим блоком ESG-400</w:t>
            </w:r>
          </w:p>
        </w:tc>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128 730,00   </w:t>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643 650,00</w:t>
            </w:r>
          </w:p>
        </w:tc>
      </w:tr>
      <w:tr>
        <w:trPr>
          <w:cantSplit w:val="0"/>
          <w:trHeight w:val="242" w:hRule="atLeast"/>
          <w:tblHeader w:val="0"/>
        </w:trPr>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Пластина пассивного электрода (одноразовые)</w:t>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Нейтральный электрод пациента, двухсекционный, на самоклеящейся основе. Нейтральный электрод для взрослых с массой тела &gt;15кг. 100шт в упаковке. Совместимый с электрохирургическим блоком ESG-400</w:t>
            </w:r>
          </w:p>
        </w:tc>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упаковка</w:t>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150 693,00   </w:t>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753 465,00</w:t>
            </w:r>
          </w:p>
        </w:tc>
      </w:tr>
      <w:tr>
        <w:trPr>
          <w:cantSplit w:val="0"/>
          <w:trHeight w:val="242" w:hRule="atLeast"/>
          <w:tblHeader w:val="0"/>
        </w:trPr>
        <w:tc>
          <w:tcP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ИТОГО:</w:t>
            </w:r>
            <w:r w:rsidDel="00000000" w:rsidR="00000000" w:rsidRPr="00000000">
              <w:rPr>
                <w:rtl w:val="0"/>
              </w:rPr>
            </w:r>
          </w:p>
        </w:tc>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36 615 556,00</w:t>
            </w: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Полный перечень закупаемых товаров, их количество и подробная спецификация указаны в Приложении к Тендерной документации (далее - ТД).</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Условия, предъявляемые к потенциальному поставщику и закупаемым товарам</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Потенциальный поставщик не участвует в закупе, если:</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финансово-хозяйственная деятельность потенциального поставщика или поставщика приостановлена.</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Потенциальный поставщик, участвующий в закупе, соответствует следующим условиям:</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правоспособность на осуществление соответствующей фармацевтической деятельности;</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не подлежит процедуре банкротства либо ликвидации;</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 является участником тендера по одному лоту со своим аффилированным лицом.</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соответствие характеристики или технической спецификации условиям объявления или приглашения на закуп.</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срок годности лекарственных средств и медицинских изделий на дату поставки поставщиком заказчику составляет:</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пятидесяти процентов от указанного срока годности на упаковке (при сроке годности менее двух лет);</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двенадцати месяцев от указанного срока годности на упаковке (при сроке годности два года и более);</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срок годности лекарственных средств и медицинских изделий на дату поставки единым дистрибьютором заказчику составляет:</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тридцати процентов от срока годности, указанного на упаковке (при сроке годности менее двух лет);</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восьми месяцев от указанного срока годности на упаковке (при сроке годности два года и более);</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срок годности вакцин на дату поставки единым дистрибьютором заказчику составляет:</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сорока процентов от указанного срока годности на упаковке (при сроке годности менее двух лет);</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десяти месяцев от указанного срока годности на упаковке (при сроке годности два года и более);</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новизна медицинской техники, ее неиспользованность и производство в период двадцати четырех месяцев, предшествующих моменту поставки;</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соблюдение количества, качества и сроков поставки или оказания фармацевтической услуги по условиям договора.</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Условия, предусмотренные подпунктами 4), 5), 6), 7), 8), 9), 10), 11), 12) и 13) пункта 11 настоящих Правил, подтверждаются поставщиком при исполнении договора поставки или закупа.</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Настоящая тендерная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документация включает в себя:</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закупаемых лекарственных средств и (или) медицинских изделий – пункт 11 настоящих Правил;</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3)объем закупаемых лекарственных средств, медицинских изделий или фармацевтических услуг и суммы, выделенные для их закупа по каждому лоту;</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место, сроки и другие условия поставки лекарственных средств, медицинских изделий или оказания фармацевтических услуг;</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условия платежей и проект договора закупа лекарственных средств и (или) медицинских изделий или договора на оказание фармацевтических услуг;</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требования к языкам тендерной заявки, договора закупа или договора на оказание фармацевтических услуг;</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требования к оформлению тендерной заявки;</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порядок, форму и сроки внесения гарантийного обеспечения тендерной заявки;</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указание на возможность и порядок отзыва тендерной заявки;</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место и окончательный срок приема тендерных заявок и срок их действия;</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место, дату, время и процедуру вскрытия конвертов с тендерными заявками;</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процедуру рассмотрения тендерных заявок;</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14)условия предоставления потенциальным поставщикам-отечественным товаропроизводителям поддержки, определенные настоящими Правилами;</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условия внесения, форму, объем и способ гарантийного обеспечения договора закупа или договора на оказание фармацевтических услуг;</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перечень и количество медицинской техники;</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условия, предъявляемые к потенциальным поставщикам фармацевтических услуг, а также их соисполнителям, предусмотренных пунктами 8 и 9 настоящих Правил (при закупе фармацевтических услуг).</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Разъяснение организатором тендера положений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тендерной документации потенциальным поставщикам, получившим ее копию</w:t>
      </w:r>
      <w:bookmarkStart w:colFirst="0" w:colLast="0" w:name="bookmark=id.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bookmarkStart w:colFirst="0" w:colLast="0" w:name="bookmark=id.1fob9te" w:id="2"/>
      <w:bookmarkEnd w:id="2"/>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5 (пяти) календарных дней.</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 (город Усть-Каменогорск, ул. Серикбаева, 1, КГП на ПХВ Восточно-Казахстанский областной Многопрофильный «Центр Онкологии и Хирургии» УЗ ВКО, корпус 4, 2 этаж, конференц-зал  «08» </w:t>
      </w:r>
      <w:r w:rsidDel="00000000" w:rsidR="00000000" w:rsidRPr="00000000">
        <w:rPr>
          <w:sz w:val="22"/>
          <w:szCs w:val="22"/>
          <w:rtl w:val="0"/>
        </w:rPr>
        <w:t xml:space="preserve">сентября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2023 года в 14.00 час).</w:t>
      </w:r>
    </w:p>
    <w:bookmarkStart w:colFirst="0" w:colLast="0" w:name="bookmark=id.3znysh7" w:id="3"/>
    <w:bookmarkEnd w:id="3"/>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Срок действия, содержание,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предоставление, изменение и отзыв тендерных заявок</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Окончательный срок представления тендерных заявок до 16 часов 00 мин. «18» сентября 2023г.</w:t>
      </w:r>
      <w:bookmarkStart w:colFirst="0" w:colLast="0" w:name="bookmark=id.2et92p0" w:id="4"/>
      <w:bookmarkEnd w:id="4"/>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Тендерная заявка, поступившая по истечении окончательного срока приема тендерных заявок, не вскрывается и возвращается потенциальному поставщику</w:t>
      </w:r>
      <w:bookmarkStart w:colFirst="0" w:colLast="0" w:name="bookmark=id.tyjcwt" w:id="5"/>
      <w:bookmarkEnd w:id="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bookmarkStart w:colFirst="0" w:colLast="0" w:name="bookmark=id.3dy6vkm" w:id="6"/>
    <w:bookmarkEnd w:id="6"/>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Тендерная заявка состоит из основной части, технической части и гарантийного обеспечения.</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Основная часть тендерной заявки содержит:</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копии сертификатов (при наличии):</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и производства требованиям надлежащей производственной практики (GMP);</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дистрибьюторской практики (GDP);</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аптечной практики (GPP);</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ценовое предложение по форме, согласно приложению 2 к настоящим Правилам;</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оригинал документа, подтверждающего внесение гарантийного обеспечения тендерной заявки.</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Техническая часть тендерной заявки содержит:</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Гарантийное обеспечение тендерной заявки (далее – гарантийное обеспечение) представляется в виде:</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по форме, согласно приложению 3 к настоящим Правилам.</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Гарантийное обеспечение возвращается потенциальному поставщику в течение 5 (пяти) рабочих дней в случаях:</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отзыва тендерной заявки потенциальным поставщиком до истечения окончательного срока ее приема;</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отклонения тендерной заявки по основанию несоответствия положениям тендерной документации;</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признания победителем тендера другого потенциального поставщика;</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прекращения процедур закупа без определения победителя тендера;</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вступления в силу договора закупа и внесения победителем тендера гарантийного обеспечения исполнения договора закупа.</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Гарантийное обеспечение не возвращается потенциальному поставщику, если он:</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он отозвал или изменил тендерную заявку после истечения окончательного срока приема тендерных заявок;</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победитель уклонился от заключения договора закупа или договора на оказание фармацевтических услуг после признания победителем тендера;</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Цены тендерных заявок потенциальных поставщиков должны быть выражены в тенге.</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Потенциальный поставщик при необходимости отзывает заявку в письменной форме до истечения окончательного срока ее приема.</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Не допускается внесение изменений в тендерные заявки после истечения срока представления тендерных заявок.</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 и «Не вскрывать до 16:30 час 18 сентября 2023г.».</w:t>
      </w:r>
    </w:p>
    <w:bookmarkStart w:colFirst="0" w:colLast="0" w:name="bookmark=id.1t3h5sf" w:id="7"/>
    <w:bookmarkEnd w:id="7"/>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Вскрытие конвертов с тендерными заявками </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в 16-30 часов 18 сентября 2023 года по адресу: г Усть-Каменогорск, ул. Серикбаева, 1, КГП на ПХВ Восточно-казахстанский областной Многопрофильный «Центр Онкологии и Хирургии» УЗ ВКО, корпус 4, 2 этаж, конференц-зал.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w:t>
      </w:r>
      <w:bookmarkStart w:colFirst="0" w:colLast="0" w:name="bookmark=id.4d34og8" w:id="8"/>
      <w:bookmarkEnd w:id="8"/>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bookmarkStart w:colFirst="0" w:colLast="0" w:name="bookmark=id.2s8eyo1" w:id="9"/>
    <w:bookmarkEnd w:id="9"/>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Оценка и сопоставление тендерных заявок </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Тендерная комиссия осуществляет оценку и сопоставление тендерных заявок.</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Тендерная комиссия отклоняет тендерную заявку в целом или по лоту в случаях:</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непредставления гарантийного обеспечения тендерной заявки в соответствии с условиями настоящих Правил;</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непредставления технической спецификации в соответствии с условиями, предусмотренными настоящими Правилами;</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представления потенциальным поставщиком технической спецификации, не соответствующей условиям тендерной документации и настоящих Правил;</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причастности к процедуре банкротства либо ликвидации;</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несоответствия условиям пункта 10 настоящих Правил;</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установленных пунктами 15, 21 настоящих Правил;</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если тендерная заявка имеет более короткий срок действия, чем указано в условиях тендерной документации;</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непредставления ценового предложения либо представления ценового предложения не по форме, согласно приложению 2 к настоящим Правилам;</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несоответствия потенциального поставщика и (или) соисполнителя условиям, предусмотренным пунктами 8 и 9 настоящих Правил;</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установления факта аффилированности в нарушение условий настоящих Прави.</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26.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Закуп способом тендера или его какой-либо лот признаются несостоявшимися по одному из следующих оснований:</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отсутствие тендерных заявок;</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отклонение всех тендерных заявок потенциальных поставщиков.</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Протокол об итогах тендера</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наименования и краткое описание лекарственных средств, медицинских изделий или фармацевтических услуг;</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сумма закупа;</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3)наименования, местонахождение и квалификационные данные потенциальных поставщиков, представивших тендерные заявки;</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цена и условия каждой тендерной заявки в соответствии с тендерной документацией;</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изложение оценки и сопоставления тендерных заявок;</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основания отклонения тендерных заявок;</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основания, если победитель тендера не определен;</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срок, в течение которого надлежит заключить договор закупа;</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информация о привлечении экспертной комиссии.</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Start w:colFirst="0" w:colLast="0" w:name="bookmark=id.17dp8vu" w:id="10"/>
    <w:bookmarkEnd w:id="10"/>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Порядок заключения договора о закупе</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Договор закупа или договор на оказание фармацевтических услуг вступают в силу со дня подписания его уполномоченными представителями сторон.</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bookmarkStart w:colFirst="0" w:colLast="0" w:name="bookmark=id.3rdcrjn"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Start w:colFirst="0" w:colLast="0" w:name="bookmark=id.26in1rg" w:id="12"/>
    <w:bookmarkEnd w:id="12"/>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Порядок внесения обеспечения исполнения договора о закупе </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взноса в виде денежных средств, размещаемых в банке, обслуживающем заказчика;</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Поддержка отечественных товаропроизводителей и (или) производителей государств-членов Евразийского экономического союза</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 Статус отечественного товаропроизводителя потенциального поставщика при проведении закупа подтверждается следующими документами:</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 Статус потенциального поставщика-производителя государств-членов ЕАЭС подтверждается следующими документами:</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bookmarkStart w:colFirst="0" w:colLast="0" w:name="bookmark=id.lnxbz9" w:id="13"/>
      <w:bookmarkEnd w:id="1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Поддержка предпринимательской инициативы</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надлежащей дистрибьюторской практики (GDP) при закупе лекарственных средств и фармацевтических услуг;</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надлежащей аптечной практики (GPP) при закупе фармацевтических услуг.</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Для получения преимущества на заключение договора закупа или договора поставки к заявке:</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w:t>
      </w:r>
    </w:p>
    <w:p w:rsidR="00000000" w:rsidDel="00000000" w:rsidP="00000000" w:rsidRDefault="00000000" w:rsidRPr="00000000" w14:paraId="000001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000000" w:rsidDel="00000000" w:rsidP="00000000" w:rsidRDefault="00000000" w:rsidRPr="00000000" w14:paraId="000001B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00000" w:rsidDel="00000000" w:rsidP="00000000" w:rsidRDefault="00000000" w:rsidRPr="00000000" w14:paraId="000001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Требования к языку тендерной заявки</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 Договор составляется на казахском и русском языках.</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szCs w:val="32"/>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s1">
    <w:name w:val="s1"/>
    <w:next w:val="s1"/>
    <w:autoRedefine w:val="0"/>
    <w:hidden w:val="0"/>
    <w:qFormat w:val="0"/>
    <w:rPr>
      <w:rFonts w:ascii="Times New Roman" w:cs="Times New Roman" w:hAnsi="Times New Roman" w:hint="default"/>
      <w:b w:val="1"/>
      <w:bCs w:val="1"/>
      <w:color w:val="000000"/>
      <w:w w:val="100"/>
      <w:position w:val="-1"/>
      <w:sz w:val="24"/>
      <w:szCs w:val="24"/>
      <w:u w:val="none"/>
      <w:effect w:val="none"/>
      <w:vertAlign w:val="baseline"/>
      <w:cs w:val="0"/>
      <w:em w:val="none"/>
      <w:lang/>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Arial Unicode MS" w:hAnsi="Courier New"/>
      <w:color w:val="000000"/>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513"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character" w:styleId="s0">
    <w:name w:val="s0"/>
    <w:next w:val="s0"/>
    <w:autoRedefine w:val="0"/>
    <w:hidden w:val="0"/>
    <w:qFormat w:val="0"/>
    <w:rPr>
      <w:rFonts w:ascii="Times New Roman" w:cs="Times New Roman" w:hAnsi="Times New Roman" w:hint="default"/>
      <w:color w:val="000000"/>
      <w:w w:val="100"/>
      <w:position w:val="-1"/>
      <w:sz w:val="20"/>
      <w:szCs w:val="20"/>
      <w:u w:val="none"/>
      <w:effect w:val="none"/>
      <w:vertAlign w:val="baseline"/>
      <w:cs w:val="0"/>
      <w:em w:val="none"/>
      <w:lang/>
    </w:rPr>
  </w:style>
  <w:style w:type="character" w:styleId="Гиперссылка">
    <w:name w:val="Гиперссылка"/>
    <w:next w:val="Гиперссылка"/>
    <w:autoRedefine w:val="0"/>
    <w:hidden w:val="0"/>
    <w:qFormat w:val="0"/>
    <w:rPr>
      <w:rFonts w:ascii="Times New Roman" w:cs="Times New Roman" w:hAnsi="Times New Roman" w:hint="default"/>
      <w:color w:val="333399"/>
      <w:w w:val="100"/>
      <w:position w:val="-1"/>
      <w:u w:val="single"/>
      <w:effect w:val="none"/>
      <w:vertAlign w:val="baseline"/>
      <w:cs w:val="0"/>
      <w:em w:val="none"/>
      <w:lang/>
    </w:rPr>
  </w:style>
  <w:style w:type="paragraph" w:styleId="ЗнакЗнак1ЗнакЗнакЗнакЗнакЗнакЗнакЗнак">
    <w:name w:val="Знак Знак1 Знак Знак Знак Знак Знак Знак Знак"/>
    <w:basedOn w:val="Обычный"/>
    <w:next w:val="ЗнакЗнак1ЗнакЗнакЗнакЗнакЗнакЗнакЗнак"/>
    <w:autoRedefine w:val="0"/>
    <w:hidden w:val="0"/>
    <w:qFormat w:val="0"/>
    <w:pPr>
      <w:suppressAutoHyphens w:val="1"/>
      <w:spacing w:after="160" w:line="240" w:lineRule="atLeast"/>
      <w:ind w:leftChars="-1" w:rightChars="0" w:firstLineChars="-1"/>
      <w:textDirection w:val="btLr"/>
      <w:textAlignment w:val="top"/>
      <w:outlineLvl w:val="0"/>
    </w:pPr>
    <w:rPr>
      <w:b w:val="1"/>
      <w:bCs w:val="1"/>
      <w:w w:val="100"/>
      <w:position w:val="-1"/>
      <w:sz w:val="28"/>
      <w:szCs w:val="28"/>
      <w:effect w:val="none"/>
      <w:vertAlign w:val="baseline"/>
      <w:cs w:val="0"/>
      <w:em w:val="none"/>
      <w:lang w:bidi="ar-SA" w:eastAsia="en-US" w:val="en-US"/>
    </w:rPr>
  </w:style>
  <w:style w:type="character" w:styleId="s3">
    <w:name w:val="s3"/>
    <w:next w:val="s3"/>
    <w:autoRedefine w:val="0"/>
    <w:hidden w:val="0"/>
    <w:qFormat w:val="0"/>
    <w:rPr>
      <w:rFonts w:ascii="Times New Roman" w:cs="Times New Roman" w:hAnsi="Times New Roman" w:hint="default"/>
      <w:i w:val="1"/>
      <w:iCs w:val="1"/>
      <w:color w:val="ff0000"/>
      <w:w w:val="100"/>
      <w:position w:val="-1"/>
      <w:sz w:val="22"/>
      <w:szCs w:val="22"/>
      <w:u w:val="none"/>
      <w:effect w:val="none"/>
      <w:vertAlign w:val="baseline"/>
      <w:cs w:val="0"/>
      <w:em w:val="none"/>
      <w:lang/>
    </w:rPr>
  </w:style>
  <w:style w:type="character" w:styleId="s9">
    <w:name w:val="s9"/>
    <w:next w:val="s9"/>
    <w:autoRedefine w:val="0"/>
    <w:hidden w:val="0"/>
    <w:qFormat w:val="0"/>
    <w:rPr>
      <w:i w:val="1"/>
      <w:iCs w:val="1"/>
      <w:color w:val="333399"/>
      <w:w w:val="100"/>
      <w:position w:val="-1"/>
      <w:u w:val="single"/>
      <w:effect w:val="none"/>
      <w:vertAlign w:val="baseline"/>
      <w:cs w:val="0"/>
      <w:em w:val="none"/>
      <w:lang/>
    </w:rPr>
  </w:style>
  <w:style w:type="paragraph" w:styleId="Iau?iue">
    <w:name w:val="Iau?iue"/>
    <w:next w:val="Iau?iue"/>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Заголовок3Знак">
    <w:name w:val="Заголовок 3 Знак"/>
    <w:next w:val="Заголовок3Знак"/>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j13">
    <w:name w:val="j13"/>
    <w:basedOn w:val="Обычный"/>
    <w:next w:val="j1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s2">
    <w:name w:val="s2"/>
    <w:basedOn w:val="Основнойшрифтабзаца"/>
    <w:next w:val="s2"/>
    <w:autoRedefine w:val="0"/>
    <w:hidden w:val="0"/>
    <w:qFormat w:val="0"/>
    <w:rPr>
      <w:w w:val="100"/>
      <w:position w:val="-1"/>
      <w:effect w:val="none"/>
      <w:vertAlign w:val="baseline"/>
      <w:cs w:val="0"/>
      <w:em w:val="none"/>
      <w:lang/>
    </w:rPr>
  </w:style>
  <w:style w:type="character" w:styleId="note">
    <w:name w:val="note"/>
    <w:next w:val="note"/>
    <w:autoRedefine w:val="0"/>
    <w:hidden w:val="0"/>
    <w:qFormat w:val="0"/>
    <w:rPr>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W3JdxxlJxxcUELiiJw9yDD1ug==">CgMxLjAyCWlkLmdqZGd4czIKaWQuMzBqMHpsbDIKaWQuMWZvYjl0ZTIKaWQuM3pueXNoNzIKaWQuMmV0OTJwMDIJaWQudHlqY3d0MgppZC4zZHk2dmttMgppZC4xdDNoNXNmMgppZC40ZDM0b2c4MgppZC4yczhleW8xMgppZC4xN2RwOHZ1MgppZC4zcmRjcmpuMgppZC4yNmluMXJnMglpZC5sbnhiejk4AHIhMVJGcnpOWUNhV0VZU29uRzZZaG1CSHlDaUxVdWpjSHE3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2021-06-25T03:28:00Z</dcterms:created>
  <dc:creator>snab</dc:creator>
</cp:coreProperties>
</file>