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«Утверждаю»</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И.о. директор КГП на ПХВ Восточно-            Казахстанский областной Многопрофильный</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«Центр Онкологии и Хирургии» УЗ ВКО</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______________ А. Кухарева</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Приказ № 219-П</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от «29» августа 2023 года</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ТЕНДЕРНАЯ ДОКУМЕНТАЦИЯ</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Приобретение медицинских изделий</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Организатор тендера</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Коммунальное государственное предприятие на праве хозяйственного ведения Восточно-Казахстанский областной Многопрофильный «Центр Онкологии и Хирургии» УЗ ВКО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Место нахождения</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070003 ВКО г. Усть-Каменогорск, ул. Серикбаева, 1</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Реквизиты</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БИН 990340002536</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ИИК KZ </w:t>
      </w:r>
      <w:r w:rsidDel="00000000" w:rsidR="00000000" w:rsidRPr="00000000">
        <w:rPr>
          <w:rFonts w:ascii="Times New Roman" w:cs="Times New Roman" w:eastAsia="Times New Roman" w:hAnsi="Times New Roman"/>
          <w:b w:val="0"/>
          <w:i w:val="1"/>
          <w:smallCaps w:val="0"/>
          <w:strike w:val="0"/>
          <w:color w:val="333333"/>
          <w:sz w:val="22"/>
          <w:szCs w:val="22"/>
          <w:u w:val="none"/>
          <w:shd w:fill="auto" w:val="clear"/>
          <w:vertAlign w:val="baseline"/>
          <w:rtl w:val="0"/>
        </w:rPr>
        <w:t xml:space="preserve">KZ7596504F0007919708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(KZT)</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БИК </w:t>
      </w:r>
      <w:r w:rsidDel="00000000" w:rsidR="00000000" w:rsidRPr="00000000">
        <w:rPr>
          <w:rFonts w:ascii="Times New Roman" w:cs="Times New Roman" w:eastAsia="Times New Roman" w:hAnsi="Times New Roman"/>
          <w:b w:val="0"/>
          <w:i w:val="1"/>
          <w:smallCaps w:val="0"/>
          <w:strike w:val="0"/>
          <w:color w:val="333333"/>
          <w:sz w:val="22"/>
          <w:szCs w:val="22"/>
          <w:u w:val="none"/>
          <w:shd w:fill="auto" w:val="clear"/>
          <w:vertAlign w:val="baseline"/>
          <w:rtl w:val="0"/>
        </w:rPr>
        <w:t xml:space="preserve">IRTYKZKA</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333333"/>
          <w:sz w:val="22"/>
          <w:szCs w:val="22"/>
          <w:u w:val="none"/>
          <w:shd w:fill="auto" w:val="clear"/>
          <w:vertAlign w:val="baseline"/>
          <w:rtl w:val="0"/>
        </w:rPr>
        <w:t xml:space="preserve">АО "ForteBank"</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Представитель организатора тендера</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Корженко О.О., тел: 8(7232) 70-00-62</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Общие положения</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Тендер проводится в соответствии Приказом Министра здравоохранения Республики Казахстан от 7 июня 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далее - Правила)</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 целью выбора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поставщиков по следующим лотам:</w:t>
      </w:r>
      <w:r w:rsidDel="00000000" w:rsidR="00000000" w:rsidRPr="00000000">
        <w:rPr>
          <w:rtl w:val="0"/>
        </w:rPr>
      </w:r>
    </w:p>
    <w:tbl>
      <w:tblPr>
        <w:tblStyle w:val="Table1"/>
        <w:tblW w:w="9498.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
        <w:gridCol w:w="1701"/>
        <w:gridCol w:w="2268"/>
        <w:gridCol w:w="992"/>
        <w:gridCol w:w="993"/>
        <w:gridCol w:w="1275"/>
        <w:gridCol w:w="1560"/>
        <w:tblGridChange w:id="0">
          <w:tblGrid>
            <w:gridCol w:w="709"/>
            <w:gridCol w:w="1701"/>
            <w:gridCol w:w="2268"/>
            <w:gridCol w:w="992"/>
            <w:gridCol w:w="993"/>
            <w:gridCol w:w="1275"/>
            <w:gridCol w:w="1560"/>
          </w:tblGrid>
        </w:tblGridChange>
      </w:tblGrid>
      <w:tr>
        <w:trPr>
          <w:cantSplit w:val="0"/>
          <w:trHeight w:val="981" w:hRule="atLeast"/>
          <w:tblHeader w:val="0"/>
        </w:trPr>
        <w:tc>
          <w:tcP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лота</w:t>
            </w:r>
            <w:r w:rsidDel="00000000" w:rsidR="00000000" w:rsidRPr="00000000">
              <w:rPr>
                <w:rtl w:val="0"/>
              </w:rPr>
            </w:r>
          </w:p>
        </w:tc>
        <w:tc>
          <w:tcP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Наименование лота</w:t>
            </w:r>
            <w:r w:rsidDel="00000000" w:rsidR="00000000" w:rsidRPr="00000000">
              <w:rPr>
                <w:rtl w:val="0"/>
              </w:rPr>
            </w:r>
          </w:p>
        </w:tc>
        <w:tc>
          <w:tcP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Техническая характеристика</w:t>
            </w:r>
            <w:r w:rsidDel="00000000" w:rsidR="00000000" w:rsidRPr="00000000">
              <w:rPr>
                <w:rtl w:val="0"/>
              </w:rPr>
            </w:r>
          </w:p>
        </w:tc>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Ед.изм</w:t>
            </w:r>
            <w:r w:rsidDel="00000000" w:rsidR="00000000" w:rsidRPr="00000000">
              <w:rPr>
                <w:rtl w:val="0"/>
              </w:rPr>
            </w:r>
          </w:p>
        </w:tc>
        <w:tc>
          <w:tcP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Количество</w:t>
            </w:r>
            <w:r w:rsidDel="00000000" w:rsidR="00000000" w:rsidRPr="00000000">
              <w:rPr>
                <w:rtl w:val="0"/>
              </w:rPr>
            </w:r>
          </w:p>
        </w:tc>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Цена</w:t>
            </w:r>
            <w:r w:rsidDel="00000000" w:rsidR="00000000" w:rsidRPr="00000000">
              <w:rPr>
                <w:rtl w:val="0"/>
              </w:rPr>
            </w:r>
          </w:p>
        </w:tc>
        <w:tc>
          <w:tcP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Сумма, тенге</w:t>
            </w:r>
            <w:r w:rsidDel="00000000" w:rsidR="00000000" w:rsidRPr="00000000">
              <w:rPr>
                <w:rtl w:val="0"/>
              </w:rPr>
            </w:r>
          </w:p>
        </w:tc>
      </w:tr>
      <w:tr>
        <w:trPr>
          <w:cantSplit w:val="0"/>
          <w:trHeight w:val="316" w:hRule="atLeast"/>
          <w:tblHeader w:val="0"/>
        </w:trPr>
        <w:tc>
          <w:tcPr>
            <w:gridSpan w:val="7"/>
            <w:tcBorders>
              <w:bottom w:color="000000" w:space="0" w:sz="4" w:val="single"/>
              <w:right w:color="000000" w:space="0" w:sz="4" w:val="single"/>
            </w:tcBorders>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Медицинские изделия</w:t>
            </w:r>
            <w:r w:rsidDel="00000000" w:rsidR="00000000" w:rsidRPr="00000000">
              <w:rPr>
                <w:rtl w:val="0"/>
              </w:rPr>
            </w:r>
          </w:p>
        </w:tc>
      </w:tr>
      <w:tr>
        <w:trPr>
          <w:cantSplit w:val="0"/>
          <w:trHeight w:val="242" w:hRule="atLeast"/>
          <w:tblHeader w:val="0"/>
        </w:trPr>
        <w:tc>
          <w:tcPr>
            <w:tcBorders>
              <w:bottom w:color="000000" w:space="0" w:sz="4" w:val="single"/>
            </w:tcBorders>
            <w:vAlign w:val="center"/>
          </w:tcPr>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21" w:right="0" w:hanging="321"/>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Расширитель тканевый анатомической формой c текстурированной поверхностью, c интегрированным магнитом и ручкой в комплекте,объёмом (мл): 300.</w:t>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Расширитель тканевый анатомической формой c текстурированной поверхностью, c интегрированным магнитом и ручкой в комплекте, объёмом (мл): 300.  Предназначены для временного растяжения ткани и кожи для проведения реконструкции тканей и коррекции деффектов. Расширители должны иметь химически и механически резистентную мягкую оболочку, которая состоит из нескольких слоёв полидиметилсилоксана. Поверхность расширителей - текстурированная. Стерильные, однократного применения.</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398 000,00</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5 970 000,00   </w:t>
            </w:r>
          </w:p>
        </w:tc>
      </w:tr>
      <w:tr>
        <w:trPr>
          <w:cantSplit w:val="0"/>
          <w:trHeight w:val="242" w:hRule="atLeast"/>
          <w:tblHeader w:val="0"/>
        </w:trPr>
        <w:tc>
          <w:tcPr>
            <w:tcBorders>
              <w:bottom w:color="000000" w:space="0" w:sz="4" w:val="single"/>
            </w:tcBorders>
            <w:vAlign w:val="center"/>
          </w:tcPr>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21" w:right="0" w:hanging="321"/>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Расширитель тканевый анатомической формой c текстурированной поверхностью, c интегрированным магнитом и ручкой в комплекте,объёмом (мл): 400.</w:t>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Расширитель тканевый анатомической формой c текстурированной поверхностью, c интегрированным магнитом и ручкой в комплекте, объёмом (мл): 400.  Предназначены для временного растяжения ткани и кожи для проведения реконструкции тканей и коррекции деффектов. Расширители должны иметь химически и механически резистентную мягкую оболочку, которая состоит из нескольких слоёв полидиметилсилоксана. Поверхность расширителей - текстурированная. Стерильные, однократного применения.</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штука</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398 000,00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13 930 000,00   </w:t>
            </w:r>
          </w:p>
        </w:tc>
      </w:tr>
      <w:tr>
        <w:trPr>
          <w:cantSplit w:val="0"/>
          <w:trHeight w:val="242" w:hRule="atLeast"/>
          <w:tblHeader w:val="0"/>
        </w:trPr>
        <w:tc>
          <w:tcPr>
            <w:tcBorders>
              <w:bottom w:color="000000" w:space="0" w:sz="4" w:val="single"/>
            </w:tcBorders>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ИТОГО:</w:t>
            </w:r>
            <w:r w:rsidDel="00000000" w:rsidR="00000000" w:rsidRPr="00000000">
              <w:rPr>
                <w:rtl w:val="0"/>
              </w:rPr>
            </w:r>
          </w:p>
        </w:tc>
        <w:tc>
          <w:tcP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19 900 000,00</w:t>
            </w: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Полный перечень закупаемых товаров, их количество и подробная спецификация указаны в Приложении к Тендерной документации (далее - ТД).</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Условия, предъявляемые к потенциальному поставщику и закупаемым товарам</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Потенциальный поставщик не участвует в закупе, если:</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финансово-хозяйственная деятельность потенциального поставщика или поставщика приостановлена.</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Потенциальный поставщик, участвующий в закупе, соответствует следующим условиям:</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правоспособность (для юридических лиц), гражданская дееспособность (для физических лиц, осуществляющих предпринимательскую деятельность);</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правоспособность на осуществление соответствующей фармацевтической деятельности;</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возможность прямо и (или) косвенно принимать решения и (или) оказывать влияние на принимаемые решения комиссией (комиссии);</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не подлежит процедуре банкротства либо ликвидации;</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не является участником тендера по одному лоту со своим аффилированным лицом.</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Условия настоящего пункта не применяются при осуществлении закупа у иностранных товаропроизводителей и через международные организации, учрежденные Организацией Объединенных Наций.</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наличие государственной регистрации в Республике Казахстан, за исключением лекарственных препаратов, изготовленных в аптеках, орфанных препаратов, включенных в приказ Министра здравоохранения Республики Казахстан от 20 октября 2020 года № ҚР ДСМ - 142/2020 "Об утверждении перечня орфанных заболеваний и лекарственных средств для их лечения (орфанных)"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соответствие характеристики или технической спецификации условиям объявления или приглашения на закуп.</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непревышение предельных цен по международному непатентованному названию и торговому наименованию (при наличии), утвержденных Приказом 96 и Приказом 77,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срок годности лекарственных средств и медицинских изделий на дату поставки поставщиком заказчику составляет:</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пятидесяти процентов от указанного срока годности на упаковке (при сроке годности менее двух лет);</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двенадцати месяцев от указанного срока годности на упаковке (при сроке годности два года и более);</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срок годности лекарственных средств и медицинских изделий, закупаемых на дату поставки поставщиком единому дистрибьютору, составляет:</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срок годности лекарственных средств и медицинских изделий на дату поставки единым дистрибьютором заказчику составляет:</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тридцати процентов от срока годности, указанного на упаковке (при сроке годности менее двух лет);</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восьми месяцев от указанного срока годности на упаковке (при сроке годности два года и более);</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 срок годности вакцин на дату поставки единым дистрибьютором заказчику составляет:</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сорока процентов от указанного срока годности на упаковке (при сроке годности менее двух лет);</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менее десяти месяцев от указанного срока годности на упаковке (при сроке годности два года и более);</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 новизна медицинской техники, ее неиспользованность и производство в период двадцати четырех месяцев, предшествующих моменту поставки;</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соблюдение количества, качества и сроков поставки или оказания фармацевтической услуги по условиям договора.</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Условия, предусмотренные подпунктами 4), 5), 6), 7), 8), 9), 10), 11), 12) и 13) пункта 11 настоящих Правил, подтверждаются поставщиком при исполнении договора поставки или закупа.</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3"/>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Настоящая тендерная </w:t>
      </w:r>
      <w:bookmarkStart w:colFirst="0" w:colLast="0" w:name="bookmark=id.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документация включает в себя:</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состав тендерной документации, перечень документов, подлежащих представлению потенциальным поставщиком в подтверждение его соответствия условиям, предусмотренным пунктами 8 и 9 настоящих Правил и закупаемых лекарственных средств и (или) медицинских изделий – пункт 11 настоящих Правил;</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3)объем закупаемых лекарственных средств, медицинских изделий или фармацевтических услуг и суммы, выделенные для их закупа по каждому лоту;</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место, сроки и другие условия поставки лекарственных средств, медицинских изделий или оказания фармацевтических услуг;</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условия платежей и проект договора закупа лекарственных средств и (или) медицинских изделий или договора на оказание фармацевтических услуг;</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требования к языкам тендерной заявки, договора закупа или договора на оказание фармацевтических услуг;</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требования к оформлению тендерной заявки;</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порядок, форму и сроки внесения гарантийного обеспечения тендерной заявки;</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 указание на возможность и порядок отзыва тендерной заявки;</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место и окончательный срок приема тендерных заявок и срок их действия;</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 место, дату, время и процедуру вскрытия конвертов с тендерными заявками;</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процедуру рассмотрения тендерных заявок;</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14)условия предоставления потенциальным поставщикам-отечественным товаропроизводителям поддержки, определенные настоящими Правилами;</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15) условия внесения, форму, объем и способ гарантийного обеспечения договора закупа или договора на оказание фармацевтических услуг;</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наименования,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17) перечень и количество медицинской техники;</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18) перечень населенных пунктов, в которых надлежит оказывать фармацевтическую услугу, определенный местными органами государственного управления здравоохранением областей, городов республиканского значения и столицы по каждому лоту (при закупе фармацевтических услуг);</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19) условия, предъявляемые к потенциальным поставщикам фармацевтических услуг, а также их соисполнителям, предусмотренных пунктами 8 и 9 настоящих Правил (при закупе фармацевтических услуг).</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Разъяснение организатором тендера положений </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тендерной документации потенциальным поставщикам, получившим ее копию</w:t>
      </w:r>
      <w:bookmarkStart w:colFirst="0" w:colLast="0" w:name="bookmark=id.30j0zll" w:id="1"/>
      <w:bookmarkEnd w:id="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Не позднее чем за 10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3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bookmarkStart w:colFirst="0" w:colLast="0" w:name="bookmark=id.1fob9te" w:id="2"/>
      <w:bookmarkEnd w:id="2"/>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 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5 (пяти) календарных дней.</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 (город Усть-Каменогорск, ул. Серикбаева, 1, КГП на ПХВ Восточно-Казахстанский областной Многопрофильный «Центр Онкологии и Хирургии» УЗ ВКО, корпус 4, 2 этаж, конференц-зал  «08» сентября 2023 года в 1</w:t>
      </w:r>
      <w:r w:rsidDel="00000000" w:rsidR="00000000" w:rsidRPr="00000000">
        <w:rPr>
          <w:sz w:val="22"/>
          <w:szCs w:val="22"/>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.00 час).</w:t>
      </w:r>
    </w:p>
    <w:bookmarkStart w:colFirst="0" w:colLast="0" w:name="bookmark=id.3znysh7" w:id="3"/>
    <w:bookmarkEnd w:id="3"/>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Срок действия, содержание,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предоставление, изменение и отзыв тендерных заявок</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Окончательный срок представления тендерных заявок до 15 часов 00 мин. «18» сентября 2023г.</w:t>
      </w:r>
      <w:bookmarkStart w:colFirst="0" w:colLast="0" w:name="bookmark=id.2et92p0" w:id="4"/>
      <w:bookmarkEnd w:id="4"/>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Тендерная заявка, поступившая по истечении окончательного срока приема тендерных заявок, не вскрывается и возвращается потенциальному поставщику</w:t>
      </w:r>
      <w:bookmarkStart w:colFirst="0" w:colLast="0" w:name="bookmark=id.tyjcwt" w:id="5"/>
      <w:bookmarkEnd w:id="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bookmarkStart w:colFirst="0" w:colLast="0" w:name="bookmark=id.3dy6vkm" w:id="6"/>
    <w:bookmarkEnd w:id="6"/>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Тендерная заявка состоит из основной части, технической части и гарантийного обеспечения.</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привлечении соисполнителя, потенциальный поставщик также прилагает к тендерной заявке документы, указанные в подпунктах 2), 3), 4) и 5) пункта 50 настоящих Правил.</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Основная часть тендерной заявки содержит:</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заявку на участие в тендере по форме, согласно приложению 1 к настоящим Правилам, (на электронном носителе представляется опись прилагаемых к заявке документов);</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копии сертификатов (при наличии):</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 соответствии объекта и производства требованиям надлежащей производственной практики (GMP);</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 соответствии объекта требованиям надлежащей дистрибьюторской практики (GDP);</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 соответствии объекта требованиям надлежащей аптечной практики (GPP);</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ценовое предложение по форме, согласно приложению 2 к настоящим Правилам;</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оригинал документа, подтверждающего внесение гарантийного обеспечения тендерной заявки.</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Техническая часть тендерной заявки содержит:</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копию документа о государственной регистрации лекарственного средства и (или) медицинского изделия либо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приказом Министра здравоохранения Республики Казахстан от 8 декабря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14.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 Гарантийное обеспечение тендерной заявки (далее – гарантийное обеспечение) представляется в виде:</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банковской гарантии по форме, согласно приложению 3 к настоящим Правилам.</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16. Гарантийное обеспечение возвращается потенциальному поставщику в течение 5 (пяти) рабочих дней в случаях:</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отзыва тендерной заявки потенциальным поставщиком до истечения окончательного срока ее приема;</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отклонения тендерной заявки по основанию несоответствия положениям тендерной документации;</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признания победителем тендера другого потенциального поставщика;</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прекращения процедур закупа без определения победителя тендера;</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вступления в силу договора закупа и внесения победителем тендера гарантийного обеспечения исполнения договора закупа.</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17. Гарантийное обеспечение не возвращается потенциальному поставщику, если он:</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он отозвал или изменил тендерную заявку после истечения окончательного срока приема тендерных заявок;</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победитель уклонился от заключения договора закупа или договора на оказание фармацевтических услуг после признания победителем тендера;</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18.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Цены тендерных заявок потенциальных поставщиков должны быть выражены в тенге.</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 Потенциальный поставщик при необходимости отзывает заявку в письменной форме до истечения окончательного срока ее приема.</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 Не допускается внесение изменений в тендерные заявки после истечения срока представления тендерных заявок.</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Приобретение медицинских изделий» и «Не вскрывать до 15:30 час 18 сентября 2023г.».</w:t>
      </w:r>
    </w:p>
    <w:bookmarkStart w:colFirst="0" w:colLast="0" w:name="bookmark=id.1t3h5sf" w:id="7"/>
    <w:bookmarkEnd w:id="7"/>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Вскрытие конвертов с тендерными заявками </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Конверты с тендерными заявками вскрываются тендерной комиссией по времени и в месте, определенных тендерной документацией, с применением аудио- и видеофиксации</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в 15-30 часов 18 сентября 2023 года по адресу: г Усть-Каменогорск, ул. Серикбаева, 1, КГП на ПХВ Восточно-казахстанский областной Многопрофильный «Центр Онкологии и Хирургии» УЗ ВКО, корпус 4, 2 этаж, конференц-зал.</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В процедуре вскрытия конвертов с тендерными заявками могут присутствовать потенциальные поставщики либо их уполномоченные представители.</w:t>
      </w:r>
      <w:bookmarkStart w:colFirst="0" w:colLast="0" w:name="bookmark=id.4d34og8" w:id="8"/>
      <w:bookmarkEnd w:id="8"/>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bookmarkStart w:colFirst="0" w:colLast="0" w:name="bookmark=id.2s8eyo1" w:id="9"/>
    <w:bookmarkEnd w:id="9"/>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Оценка и сопоставление тендерных заявок </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 Тендерная комиссия осуществляет оценку и сопоставление тендерных заявок.</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В целях уточнения соответствия потенциальных поставщиков условиям настоящих Правил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Тендерная комиссия отклоняет тендерную заявку в целом или по лоту в случаях:</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непредставления гарантийного обеспечения тендерной заявки в соответствии с условиями настоящих Правил;</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при отсутствии сведений в информационных системах государственных органов;</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непредставления технической спецификации в соответствии с условиями, предусмотренными настоящими Правилами;</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представления потенциальным поставщиком технической спецификации, не соответствующей условиям тендерной документации и настоящих Правил;</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настоящих Правил;</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 причастности к процедуре банкротства либо ликвидации;</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непредставления документов, подтверждающих соответствие предлагаемых лекарственных средств и (или) медицинских изделий, фармацевтических услуг пункту 11 настоящих Правил;</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 несоответствия условиям пункта 10 настоящих Правил;</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установленных пунктами 15, 21 настоящих Правил;</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14) если тендерная заявка имеет более короткий срок действия, чем указано в условиях тендерной документации;</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15) непредставления ценового предложения либо представления ценового предложения не по форме, согласно приложению 2 к настоящим Правилам;</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16)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17) представления тендерной заявки в непрошитом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18) несоответствия потенциального поставщика и (или) соисполнителя условиям, предусмотренным пунктами 8 и 9 настоящих Правил;</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19) установления факта аффилированности в нарушение условий настоящих Прави.</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26.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настоящих Правил.</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27. 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28. Закуп способом тендера или его какой-либо лот признаются несостоявшимися по одному из следующих оснований:</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отсутствие тендерных заявок;</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отклонение всех тендерных заявок потенциальных поставщиков.</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29.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настоящих Правил, на основе наименьшего ценового предложения.</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настоящих Правил.</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 Протокол об итогах тендера</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30. Итоги тендера подводятся в течение 10 (десяти) календарных дней со дня вскрытия конвертов с тендерными заявками, о чем составляется протокол, в который включаются:</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наименования и краткое описание лекарственных средств, медицинских изделий или фармацевтических услуг;</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сумма закупа;</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3)наименования, местонахождение и квалификационные данные потенциальных поставщиков, представивших тендерные заявки;</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4) цена и условия каждой тендерной заявки в соответствии с тендерной документацией;</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5) изложение оценки и сопоставления тендерных заявок;</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6) основания отклонения тендерных заявок;</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 основания, если победитель тендера не определен;</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 срок, в течение которого надлежит заключить договор закупа;</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11) информация о привлечении экспертной комиссии.</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 В течение 3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интернет-ресурсе заказчика или организатора закупа.</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 Протокол об итогах тендера размещается на интернет-ресурсе заказчика или организатора закупа. Организатор закупа в течение 3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bookmarkStart w:colFirst="0" w:colLast="0" w:name="bookmark=id.17dp8vu" w:id="10"/>
    <w:bookmarkEnd w:id="10"/>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 Порядок заключения договора о закупе</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 Заказчик в течение 5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форме, согласно приложению 5 и (или) 6 настоящих Правил.</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34. В течение 10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35. Непредставление в указанный срок подписанного договора или уведомления о несогласии с условиями считается отказом от его заключения. Срок рассмотрения отказа не превышает 2 (двух) рабочих дней со дня представления отказа от заключения договора.</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36. Договор закупа или договор на оказание фармацевтических услуг вступают в силу со дня подписания его уполномоченными представителями сторон.</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37.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условиям настоящих Правил, и ценовое предложение которого является вторым после предложения победителя.</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38. 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39. 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по взаимному согласию сторон в части уменьшения цены на лекарственные средства и (или) медицинские изделия и, соответственно, цены договора;</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по взаимному согласию сторон в части уменьшения объема лекарственных средств и (или) медицинских изделий, фармацевтических услуг.</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40</w:t>
      </w:r>
      <w:bookmarkStart w:colFirst="0" w:colLast="0" w:name="bookmark=id.3rdcrjn" w:id="11"/>
      <w:bookmarkEnd w:id="1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bookmarkStart w:colFirst="0" w:colLast="0" w:name="bookmark=id.26in1rg" w:id="12"/>
    <w:bookmarkEnd w:id="12"/>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 Порядок внесения обеспечения исполнения договора о закупе </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гарантийного взноса в виде денежных средств, размещаемых в банке, обслуживающем заказчика;</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44. Гарантийное обеспечение исполнения договора закупа или договора на оказание фармацевтических услуг вносится поставщиком не позднее 10 (десяти) рабочих дней со дня его вступления в силу, если им не предусмотрено иное.</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45. Гарантийное обеспечение исполнения договора закупа или договора на оказание фармацевтических услуг не возвращается заказчиком поставщику при:</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расторжении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неисполнении или исполнении ненадлежащим образом своих обязательств по договору поставки (нарушение сроков поставки и нарушение других условий договора);</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неуплате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Поддержка отечественных товаропроизводителей и (или) производителей государств-членов Евразийского экономического союза</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46.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47.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48. Статус отечественного товаропроизводителя потенциального поставщика при проведении закупа подтверждается следующими документами:</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регистрационным удостоверением на лекарственное средство или медицинское изделие, выданным в соответствии с приказом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"СТ-KZ".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49. Статус потенциального поставщика-производителя государств-членов ЕАЭС подтверждается следующими документами:</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лицензией на фармацевтическую деятельность по производству лекарственных средств и (или) медицинских изделий;</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регистрационным удостоверением, соответствующих решению Совета ЕАЭС от 3 ноября 2016 года № 78 "О Правилах регистрации и экспертизы лекарственных средств для медицинского применения" и решению Совета ЕАЭС от 12 февраля 2016 года № 46 "О Правилах регистрации и экспертизы безопасности, качества и эффективности медицинских изделий".</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w:t>
      </w:r>
      <w:bookmarkStart w:colFirst="0" w:colLast="0" w:name="bookmark=id.lnxbz9" w:id="13"/>
      <w:bookmarkEnd w:id="1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Поддержка предпринимательской инициативы</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50. 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надлежащей дистрибьюторской практики (GDP) при закупе лекарственных средств и фармацевтических услуг;</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надлежащей аптечной практики (GPP) при закупе фармацевтических услуг.</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 Для получения преимущества на заключение договора закупа или договора поставки к заявке:</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потенциальные поставщики при закупе лекарственных средств прикладывают сертификат о соответствии объекта требованиям надлежащей дистрибьюторской практики (GDP);</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w:t>
      </w:r>
    </w:p>
    <w:p w:rsidR="00000000" w:rsidDel="00000000" w:rsidP="00000000" w:rsidRDefault="00000000" w:rsidRPr="00000000" w14:paraId="0000011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 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000000" w:rsidDel="00000000" w:rsidP="00000000" w:rsidRDefault="00000000" w:rsidRPr="00000000" w14:paraId="0000011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000000" w:rsidDel="00000000" w:rsidP="00000000" w:rsidRDefault="00000000" w:rsidRPr="00000000" w14:paraId="0000011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0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12. Требования к языку тендерной заявки</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 Договор составляется на казахском и русском языках.</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Заголовок1">
    <w:name w:val="Заголовок 1"/>
    <w:basedOn w:val="Обычный"/>
    <w:next w:val="Обычный"/>
    <w:autoRedefine w:val="0"/>
    <w:hidden w:val="0"/>
    <w:qFormat w:val="0"/>
    <w:pPr>
      <w:keepNext w:val="1"/>
      <w:suppressAutoHyphens w:val="1"/>
      <w:spacing w:line="1" w:lineRule="atLeast"/>
      <w:ind w:leftChars="-1" w:rightChars="0" w:firstLineChars="-1"/>
      <w:textDirection w:val="btLr"/>
      <w:textAlignment w:val="top"/>
      <w:outlineLvl w:val="0"/>
    </w:pPr>
    <w:rPr>
      <w:w w:val="100"/>
      <w:position w:val="-1"/>
      <w:sz w:val="28"/>
      <w:szCs w:val="32"/>
      <w:effect w:val="none"/>
      <w:vertAlign w:val="baseline"/>
      <w:cs w:val="0"/>
      <w:em w:val="none"/>
      <w:lang w:bidi="ar-SA" w:eastAsia="ru-RU" w:val="ru-RU"/>
    </w:rPr>
  </w:style>
  <w:style w:type="paragraph" w:styleId="Заголовок3">
    <w:name w:val="Заголовок 3"/>
    <w:basedOn w:val="Обычный"/>
    <w:next w:val="Обычный"/>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mbria" w:cs="Times New Roman" w:eastAsia="Times New Roman" w:hAnsi="Cambria"/>
      <w:b w:val="1"/>
      <w:bCs w:val="1"/>
      <w:w w:val="100"/>
      <w:position w:val="-1"/>
      <w:sz w:val="26"/>
      <w:szCs w:val="26"/>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character" w:styleId="s1">
    <w:name w:val="s1"/>
    <w:next w:val="s1"/>
    <w:autoRedefine w:val="0"/>
    <w:hidden w:val="0"/>
    <w:qFormat w:val="0"/>
    <w:rPr>
      <w:rFonts w:ascii="Times New Roman" w:cs="Times New Roman" w:hAnsi="Times New Roman" w:hint="default"/>
      <w:b w:val="1"/>
      <w:bCs w:val="1"/>
      <w:color w:val="000000"/>
      <w:w w:val="100"/>
      <w:position w:val="-1"/>
      <w:sz w:val="24"/>
      <w:szCs w:val="24"/>
      <w:u w:val="none"/>
      <w:effect w:val="none"/>
      <w:vertAlign w:val="baseline"/>
      <w:cs w:val="0"/>
      <w:em w:val="none"/>
      <w:lang/>
    </w:rPr>
  </w:style>
  <w:style w:type="paragraph" w:styleId="СтандартныйHTML">
    <w:name w:val="Стандартный HTML"/>
    <w:basedOn w:val="Обычный"/>
    <w:next w:val="СтандартныйHTML"/>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cs="Courier New" w:eastAsia="Arial Unicode MS" w:hAnsi="Courier New"/>
      <w:color w:val="000000"/>
      <w:w w:val="100"/>
      <w:position w:val="-1"/>
      <w:sz w:val="24"/>
      <w:szCs w:val="24"/>
      <w:effect w:val="none"/>
      <w:vertAlign w:val="baseline"/>
      <w:cs w:val="0"/>
      <w:em w:val="none"/>
      <w:lang w:bidi="ar-SA" w:eastAsia="ru-RU" w:val="ru-RU"/>
    </w:rPr>
  </w:style>
  <w:style w:type="paragraph" w:styleId="Основнойтекстсотступом2">
    <w:name w:val="Основной текст с отступом 2"/>
    <w:basedOn w:val="Обычный"/>
    <w:next w:val="Основнойтекстсотступом2"/>
    <w:autoRedefine w:val="0"/>
    <w:hidden w:val="0"/>
    <w:qFormat w:val="0"/>
    <w:pPr>
      <w:suppressAutoHyphens w:val="1"/>
      <w:spacing w:line="1" w:lineRule="atLeast"/>
      <w:ind w:leftChars="-1" w:rightChars="0" w:firstLine="513" w:firstLineChars="-1"/>
      <w:jc w:val="both"/>
      <w:textDirection w:val="btLr"/>
      <w:textAlignment w:val="top"/>
      <w:outlineLvl w:val="0"/>
    </w:pPr>
    <w:rPr>
      <w:w w:val="100"/>
      <w:position w:val="-1"/>
      <w:sz w:val="24"/>
      <w:szCs w:val="24"/>
      <w:effect w:val="none"/>
      <w:vertAlign w:val="baseline"/>
      <w:cs w:val="0"/>
      <w:em w:val="none"/>
      <w:lang w:bidi="ar-SA" w:eastAsia="ru-RU" w:val="ru-RU"/>
    </w:rPr>
  </w:style>
  <w:style w:type="character" w:styleId="s0">
    <w:name w:val="s0"/>
    <w:next w:val="s0"/>
    <w:autoRedefine w:val="0"/>
    <w:hidden w:val="0"/>
    <w:qFormat w:val="0"/>
    <w:rPr>
      <w:rFonts w:ascii="Times New Roman" w:cs="Times New Roman" w:hAnsi="Times New Roman" w:hint="default"/>
      <w:color w:val="000000"/>
      <w:w w:val="100"/>
      <w:position w:val="-1"/>
      <w:sz w:val="20"/>
      <w:szCs w:val="20"/>
      <w:u w:val="none"/>
      <w:effect w:val="none"/>
      <w:vertAlign w:val="baseline"/>
      <w:cs w:val="0"/>
      <w:em w:val="none"/>
      <w:lang/>
    </w:rPr>
  </w:style>
  <w:style w:type="character" w:styleId="Гиперссылка">
    <w:name w:val="Гиперссылка"/>
    <w:next w:val="Гиперссылка"/>
    <w:autoRedefine w:val="0"/>
    <w:hidden w:val="0"/>
    <w:qFormat w:val="0"/>
    <w:rPr>
      <w:rFonts w:ascii="Times New Roman" w:cs="Times New Roman" w:hAnsi="Times New Roman" w:hint="default"/>
      <w:color w:val="333399"/>
      <w:w w:val="100"/>
      <w:position w:val="-1"/>
      <w:u w:val="single"/>
      <w:effect w:val="none"/>
      <w:vertAlign w:val="baseline"/>
      <w:cs w:val="0"/>
      <w:em w:val="none"/>
      <w:lang/>
    </w:rPr>
  </w:style>
  <w:style w:type="paragraph" w:styleId="ЗнакЗнак1ЗнакЗнакЗнакЗнакЗнакЗнакЗнак">
    <w:name w:val="Знак Знак1 Знак Знак Знак Знак Знак Знак Знак"/>
    <w:basedOn w:val="Обычный"/>
    <w:next w:val="ЗнакЗнак1ЗнакЗнакЗнакЗнакЗнакЗнакЗнак"/>
    <w:autoRedefine w:val="0"/>
    <w:hidden w:val="0"/>
    <w:qFormat w:val="0"/>
    <w:pPr>
      <w:suppressAutoHyphens w:val="1"/>
      <w:spacing w:after="160" w:line="240" w:lineRule="atLeast"/>
      <w:ind w:leftChars="-1" w:rightChars="0" w:firstLineChars="-1"/>
      <w:textDirection w:val="btLr"/>
      <w:textAlignment w:val="top"/>
      <w:outlineLvl w:val="0"/>
    </w:pPr>
    <w:rPr>
      <w:b w:val="1"/>
      <w:bCs w:val="1"/>
      <w:w w:val="100"/>
      <w:position w:val="-1"/>
      <w:sz w:val="28"/>
      <w:szCs w:val="28"/>
      <w:effect w:val="none"/>
      <w:vertAlign w:val="baseline"/>
      <w:cs w:val="0"/>
      <w:em w:val="none"/>
      <w:lang w:bidi="ar-SA" w:eastAsia="en-US" w:val="en-US"/>
    </w:rPr>
  </w:style>
  <w:style w:type="character" w:styleId="s3">
    <w:name w:val="s3"/>
    <w:next w:val="s3"/>
    <w:autoRedefine w:val="0"/>
    <w:hidden w:val="0"/>
    <w:qFormat w:val="0"/>
    <w:rPr>
      <w:rFonts w:ascii="Times New Roman" w:cs="Times New Roman" w:hAnsi="Times New Roman" w:hint="default"/>
      <w:i w:val="1"/>
      <w:iCs w:val="1"/>
      <w:color w:val="ff0000"/>
      <w:w w:val="100"/>
      <w:position w:val="-1"/>
      <w:sz w:val="22"/>
      <w:szCs w:val="22"/>
      <w:u w:val="none"/>
      <w:effect w:val="none"/>
      <w:vertAlign w:val="baseline"/>
      <w:cs w:val="0"/>
      <w:em w:val="none"/>
      <w:lang/>
    </w:rPr>
  </w:style>
  <w:style w:type="character" w:styleId="s9">
    <w:name w:val="s9"/>
    <w:next w:val="s9"/>
    <w:autoRedefine w:val="0"/>
    <w:hidden w:val="0"/>
    <w:qFormat w:val="0"/>
    <w:rPr>
      <w:i w:val="1"/>
      <w:iCs w:val="1"/>
      <w:color w:val="333399"/>
      <w:w w:val="100"/>
      <w:position w:val="-1"/>
      <w:u w:val="single"/>
      <w:effect w:val="none"/>
      <w:vertAlign w:val="baseline"/>
      <w:cs w:val="0"/>
      <w:em w:val="none"/>
      <w:lang/>
    </w:rPr>
  </w:style>
  <w:style w:type="paragraph" w:styleId="Iau?iue">
    <w:name w:val="Iau?iue"/>
    <w:next w:val="Iau?iue"/>
    <w:autoRedefine w:val="0"/>
    <w:hidden w:val="0"/>
    <w:qFormat w:val="0"/>
    <w:pPr>
      <w:widowControl w:val="0"/>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character" w:styleId="Заголовок3Знак">
    <w:name w:val="Заголовок 3 Знак"/>
    <w:next w:val="Заголовок3Знак"/>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j13">
    <w:name w:val="j13"/>
    <w:basedOn w:val="Обычный"/>
    <w:next w:val="j13"/>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s2">
    <w:name w:val="s2"/>
    <w:basedOn w:val="Основнойшрифтабзаца"/>
    <w:next w:val="s2"/>
    <w:autoRedefine w:val="0"/>
    <w:hidden w:val="0"/>
    <w:qFormat w:val="0"/>
    <w:rPr>
      <w:w w:val="100"/>
      <w:position w:val="-1"/>
      <w:effect w:val="none"/>
      <w:vertAlign w:val="baseline"/>
      <w:cs w:val="0"/>
      <w:em w:val="none"/>
      <w:lang/>
    </w:rPr>
  </w:style>
  <w:style w:type="character" w:styleId="note">
    <w:name w:val="note"/>
    <w:next w:val="note"/>
    <w:autoRedefine w:val="0"/>
    <w:hidden w:val="0"/>
    <w:qFormat w:val="0"/>
    <w:rPr>
      <w:w w:val="100"/>
      <w:position w:val="-1"/>
      <w:effect w:val="none"/>
      <w:vertAlign w:val="baseline"/>
      <w:cs w:val="0"/>
      <w:em w:val="none"/>
      <w:lang/>
    </w:r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ru-RU" w:val="ru-RU"/>
    </w:rPr>
  </w:style>
  <w:style w:type="character" w:styleId="ТекствыноскиЗнак">
    <w:name w:val="Текст выноски Знак"/>
    <w:next w:val="ТекствыноскиЗнак"/>
    <w:autoRedefine w:val="0"/>
    <w:hidden w:val="0"/>
    <w:qFormat w:val="0"/>
    <w:rPr>
      <w:rFonts w:ascii="Segoe UI" w:cs="Segoe UI" w:hAnsi="Segoe UI"/>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XYAp2FRBZufVaJL1aOkw/M4j4g==">CgMxLjAyCWlkLmdqZGd4czIKaWQuMzBqMHpsbDIKaWQuMWZvYjl0ZTIKaWQuM3pueXNoNzIKaWQuMmV0OTJwMDIJaWQudHlqY3d0MgppZC4zZHk2dmttMgppZC4xdDNoNXNmMgppZC40ZDM0b2c4MgppZC4yczhleW8xMgppZC4xN2RwOHZ1MgppZC4zcmRjcmpuMgppZC4yNmluMXJnMglpZC5sbnhiejk4AHIhMS1BTDQ3UUZwYWtiamFWRThlNjlKZU91UTFvVnV3OUZ0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2021-06-25T03:28:00Z</dcterms:created>
  <dc:creator>snab</dc:creator>
</cp:coreProperties>
</file>