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«Утверждаю»</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Директор КГП на ПХВ Восточно-            Казахстанский областной Многопрофильный</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«Центр Онкологии и Хирургии» УЗ ВКО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 А. Кухарева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Приказ № 94-П</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 «28» марта 2023 года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ТЕНДЕРНАЯ ДОКУМЕНТАЦИЯ</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Организатор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УЗ ВКО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Место нахождения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070003 ВКО г. Усть-Каменогорск, ул. Серикбаева, 1</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Реквизиты</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БИН 990340002536</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ИИК KZ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KZ7596504F0007919708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(KZT)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БИК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IRTYKZKA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АО "ForteBank"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Представитель организатора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Корженко О.О., тел: 8(7232) 70-00-62</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Тендер проводится в соответствии с Постановлением Правительства Республики Казахстан от 04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далее - Правила)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целью выбора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поставщиков по следующим лотам:</w:t>
      </w:r>
      <w:r w:rsidDel="00000000" w:rsidR="00000000" w:rsidRPr="00000000">
        <w:rPr>
          <w:rtl w:val="0"/>
        </w:rPr>
      </w:r>
    </w:p>
    <w:tbl>
      <w:tblPr>
        <w:tblStyle w:val="Table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2580"/>
        <w:gridCol w:w="1276"/>
        <w:gridCol w:w="1134"/>
        <w:gridCol w:w="1559"/>
        <w:gridCol w:w="2098"/>
        <w:tblGridChange w:id="0">
          <w:tblGrid>
            <w:gridCol w:w="709"/>
            <w:gridCol w:w="2580"/>
            <w:gridCol w:w="1276"/>
            <w:gridCol w:w="1134"/>
            <w:gridCol w:w="1559"/>
            <w:gridCol w:w="2098"/>
          </w:tblGrid>
        </w:tblGridChange>
      </w:tblGrid>
      <w:tr>
        <w:trPr>
          <w:cantSplit w:val="0"/>
          <w:trHeight w:val="1018" w:hRule="atLeast"/>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лота</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Наименование лота</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Ед.изм</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Количество</w:t>
            </w: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Цена</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Сумма, тенге</w:t>
            </w:r>
            <w:r w:rsidDel="00000000" w:rsidR="00000000" w:rsidRPr="00000000">
              <w:rPr>
                <w:rtl w:val="0"/>
              </w:rPr>
            </w:r>
          </w:p>
        </w:tc>
      </w:tr>
      <w:tr>
        <w:trPr>
          <w:cantSplit w:val="0"/>
          <w:trHeight w:val="252" w:hRule="atLeast"/>
          <w:tblHeader w:val="0"/>
        </w:trPr>
        <w:tc>
          <w:tcPr>
            <w:shd w:fill="auto"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Имплантируемый порт, размер 7 F</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комплект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250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207 165,00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51 791 250,00   </w:t>
            </w:r>
          </w:p>
        </w:tc>
      </w:tr>
      <w:tr>
        <w:trPr>
          <w:cantSplit w:val="0"/>
          <w:trHeight w:val="252" w:hRule="atLeast"/>
          <w:tblHeader w:val="0"/>
        </w:trPr>
        <w:tc>
          <w:tcPr>
            <w:shd w:fill="auto"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Комплект для химиоэмболизации печени</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комплект</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1 080 000,00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64 800 000,00   </w:t>
            </w:r>
          </w:p>
        </w:tc>
      </w:tr>
      <w:tr>
        <w:trPr>
          <w:cantSplit w:val="0"/>
          <w:trHeight w:val="252" w:hRule="atLeast"/>
          <w:tblHeader w:val="0"/>
        </w:trPr>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ИТОГО:</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116 591 250,00</w:t>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Полный перечень закупаемых товаров, их количество и подробная спецификация указаны в Приложении №1 к Тендерной документации (далее - ТД).</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Квалификационные требования, предъявляемые к потенциальному поставщику и закупаемым товарам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 потенциальным поставщикам товаров предъявляются следующие квалификационные требования: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правоспособность на осуществление соответствующей фармацевтической деятельности;</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не подлежит процедуре банкротства либо ликвидации;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 является участником тендера по одному лоту со своим аффилированным лицом.</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Требования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соответствие характеристики или технической спецификации условиям объявления или приглашения на закуп.</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непревышение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срок годности лекарственных средств и медицинских изделий на дату поставки поставщиком заказчику составляет:</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пятидесяти процентов от указанного срока годности на упаковке (при сроке годности менее двух лет);</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двенадцати месяцев от указанного срока годности на упаковке (при сроке годности два года и более);</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срок годности лекарственных средств и медицинских изделий на дату поставки единым дистрибьютором заказчику составляет:</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тридцати процентов от срока годности, указанного на упаковке (при сроке годности менее двух лет);</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восьми месяцев от указанного срока годности на упаковке (при сроке годности два года и более);</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срок годности вакцин на дату поставки единым дистрибьютором заказчику составляет:</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сорока процентов от указанного срока годности на упаковке (при сроке годности менее двух лет);</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десяти месяцев от указанного срока годности на упаковке (при сроке годности два года и более);</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новизна медицинской техники, ее неиспользованность и производство в период двадцати четырех месяцев, предшествующих моменту поставки;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соблюдение количества, качества и сроков поставки или оказания фармацевтической услуги по условиям договора;</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Настоящая тендерная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документация включает в себя: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лекарственных средств и (или) медицинских изделий – главе 4 настоящих Правил;</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объем закупаемых лекарственных средств, медицинских изделий или фармацевтических услуг и суммы, выделенные для их закупа по каждому лоту;</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место, сроки и другие условия поставки лекарственных средств, медицинских изделий или оказания фармацевтических услуг;</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требования к языкам тендерной заявки, договора закупа или договора на оказание фармацевтических услуг;</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требования к оформлению тендерной заявки;</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порядок, форму и сроки внесения гарантийного обеспечения тендерной заявки;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указание на возможность и порядок отзыва тендерной заявки;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место и окончательный срок приема тендерных заявок и срок их действия;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место, дату, время и процедуру вскрытия конвертов с тендерными заявками;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процедуру рассмотрения тендерных заявок;</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условия предоставления потенциальным поставщикам - отечественным товаропроизводителям поддержки, определенные Правилами;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условия внесения, форму, объем и способ гарантийного обеспечения договора закупа или договора на оказание фармацевтических услуг;</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перечень и количество медицинской техники;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перечень населенных пунктов, в которых надлежит оказывать фармацевтическую услугу, определенный управлениями здравоохранения областей, городов республиканского значения, столицы по каждому лоту (при закупе фармацевтических услуг);</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Разъяснение организатором тендера положений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тендерной документации потенциальным поставщикам, получившим ее копию</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bookmarkStart w:colFirst="0" w:colLast="0" w:name="bookmark=id.1fob9te" w:id="2"/>
      <w:bookmarkEnd w:id="2"/>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 (город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  «07» </w:t>
      </w:r>
      <w:r w:rsidDel="00000000" w:rsidR="00000000" w:rsidRPr="00000000">
        <w:rPr>
          <w:sz w:val="22"/>
          <w:szCs w:val="22"/>
          <w:rtl w:val="0"/>
        </w:rPr>
        <w:t xml:space="preserve">апреля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2023 года в 14.00 час).</w:t>
      </w:r>
    </w:p>
    <w:bookmarkStart w:colFirst="0" w:colLast="0" w:name="bookmark=id.3znysh7" w:id="3"/>
    <w:bookmarkEnd w:id="3"/>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Срок действия, содержание,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предоставление, изменение и отзыв тендерных заявок</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Окончательный срок представления тендерных заявок до 16 часов 00 мин. «17» апреля 2023г.</w:t>
      </w:r>
      <w:bookmarkStart w:colFirst="0" w:colLast="0" w:name="bookmark=id.2et92p0" w:id="4"/>
      <w:bookmarkEnd w:id="4"/>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Тендерная заявка, поступившая по истечении окончательного срока приема тендерных заявок, не вскрывается и возвращается потенциальному поставщику</w:t>
      </w:r>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bookmarkStart w:colFirst="0" w:colLast="0" w:name="bookmark=id.3dy6vkm" w:id="6"/>
    <w:bookmarkEnd w:id="6"/>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Тендерная заявка состоит из основной части, технической части и гарантийного обеспечения.</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привлечения соисполнителя, потенциальный поставщик также прилагает к тендерной заявке документы, указанные в подпунктах 2), 3), 4), 5), 6) и 7) пункта 130-27 настоящих Правил.</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Основная часть тендерной заявки содержит:</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копии сертификатов (при наличии):</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дистрибьюторской практики (GDP);</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аптечной практики (GPP);</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ценовое предложение по форме, утвержденной уполномоченным органом в области здравоохранения;</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оригинал документа, подтверждающего внесение гарантийного обеспечения тендерной заявки.</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Техническая часть тендерной заявки содержит:</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Гарантийное обеспечение тендерной заявки (далее – гарантийное обеспечение) представляется в виде:</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по форме, утвержденной уполномоченным органом в области здравоохранения.</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Гарантийное обеспечение возвращается потенциальному поставщику в течение пяти рабочих дней в случаях:</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отзыва тендерной заявки потенциальным поставщиком до истечения окончательного срока ее приема;</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отклонения тендерной заявки по основанию несоответствия положениям тендерной документации;</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признания победителем тендера другого потенциального поставщика;</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прекращения процедур закупа без определения победителя тендера;</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вступления в силу договора закупа и внесения победителем тендера гарантийного обеспечения исполнения договора закупа.</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Гарантийное обеспечение не возвращается потенциальному поставщику, если он:</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он отозвал или изменил тендерную заявку после истечения окончательного срока приема тендерных заявок;</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победитель уклонился от заключения договора закупа или договора на оказание фармацевтических услуг после признания победителем тендера;</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Цены тендерных заявок потенциальных поставщиков должны быть выражены в тенге.</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Потенциальный поставщик при необходимости отзывает заявку в письменной форме до истечения окончательного срока ее приема.</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Не допускается внесение изменений в тендерные заявки после истечения срока представления тендерных заявок.</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 и «Не вскрывать до 16:30 час 17 апреля 2023г.».</w:t>
      </w:r>
    </w:p>
    <w:bookmarkStart w:colFirst="0" w:colLast="0" w:name="bookmark=id.1t3h5sf" w:id="7"/>
    <w:bookmarkEnd w:id="7"/>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Вскрытие конвертов с тендерными заявками </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в 16-30 часов 17 апреля 2023 года по адресу: г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w:t>
      </w:r>
      <w:bookmarkStart w:colFirst="0" w:colLast="0" w:name="bookmark=id.4d34og8" w:id="8"/>
      <w:bookmarkEnd w:id="8"/>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bookmarkStart w:colFirst="0" w:colLast="0" w:name="bookmark=id.2s8eyo1" w:id="9"/>
    <w:bookmarkEnd w:id="9"/>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Оценка и сопоставление тендерных заявок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Тендерная комиссия осуществляет оценку и сопоставление тендерных заявок.</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Тендерная комиссия отклоняет тендерную заявку в целом или по лоту в случаях:</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непредставления гарантийного обеспечения тендерной заявки в соответствии с требованиями настоящих Правил;</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непредставления технической спецификации в соответствии с требованиями настоящих Правил;</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причастности к процедуре банкротства либо ликвидации;</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несоответствия требованиям пункта 10 настоящих Правил;</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установленных пунктами 15, 21 настоящих Правил;</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если тендерная заявка имеет более короткий срок действия, чем указано в условиях тендерной документации;</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несоответствия потенциального поставщика и (или) соисполнителя предъявляемым квалификационным требованиям;</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 установления факта аффилированности в нарушение требований настоящих Правил.</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25.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26.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Закуп способом тендера или его какой-либо лот признаются несостоявшимися по одному из следующих оснований:</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отсутствие тендерных заявок;</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отклонение всех тендерных заявок потенциальных поставщиков.</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Протокол об итогах тендера</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наименования и краткое описание лекарственных средств, медицинских изделий или фармацевтических услуг;</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сумма закупа;</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наименования, местонахождение и квалификационные данные потенциальных поставщиков, представивших тендерные заявки;</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цена и другие условия каждой тендерной заявки в соответствии с тендерной документацией;</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61"/>
        </w:tabs>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изложение оценки и сопоставления тендерных заявок;</w:t>
        <w:tab/>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основания отклонения тендерных заявок;</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основания, если победитель тендера не определен;</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срок, в течение которого надлежит заключить договор закупа;</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информация о привлечении экспертной комиссии.</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Start w:colFirst="0" w:colLast="0" w:name="bookmark=id.17dp8vu" w:id="10"/>
    <w:bookmarkEnd w:id="10"/>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Порядок заключения договора о закупе</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двух рабочих дней со дня представления отказа от заключения договора.</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w:t>
      </w:r>
      <w:bookmarkStart w:colFirst="0" w:colLast="0" w:name="bookmark=id.3rdcrjn"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Start w:colFirst="0" w:colLast="0" w:name="bookmark=id.26in1rg" w:id="12"/>
    <w:bookmarkEnd w:id="12"/>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Порядок внесения обеспечения исполнения договора о закупе </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взноса в виде денежных средств, размещаемых в банке, обслуживающем заказчика;</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неисполнения или исполнения ненадлежащим образом своих обязательств по договору поставки (нарушение сроков поставки и нарушение других условий договора);</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неуплаты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Поддержка отечественных товаропроизводителей и (или) производителей государств-членов Евразийского экономического союза</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 Статус отечественного товаропроизводителя потенциального поставщика при проведении закупа подтверждается следующими документами:</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на лекарственное средство или медицинское изделие, выданным в соответствии с положениями </w:t>
      </w:r>
      <w:hyperlink r:id="rId7">
        <w:r w:rsidDel="00000000" w:rsidR="00000000" w:rsidRPr="00000000">
          <w:rPr>
            <w:rFonts w:ascii="Times New Roman" w:cs="Times New Roman" w:eastAsia="Times New Roman" w:hAnsi="Times New Roman"/>
            <w:b w:val="0"/>
            <w:i w:val="0"/>
            <w:smallCaps w:val="0"/>
            <w:strike w:val="0"/>
            <w:color w:val="333399"/>
            <w:sz w:val="22"/>
            <w:szCs w:val="22"/>
            <w:u w:val="single"/>
            <w:shd w:fill="auto" w:val="clear"/>
            <w:vertAlign w:val="baseline"/>
            <w:rtl w:val="0"/>
          </w:rPr>
          <w:t xml:space="preserve">Кодекса</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 Статус потенциального поставщика-производителя государств-членов ЕАЭС подтверждается следующими документами:</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соответствующим </w:t>
      </w:r>
      <w:hyperlink r:id="rId8">
        <w:r w:rsidDel="00000000" w:rsidR="00000000" w:rsidRPr="00000000">
          <w:rPr>
            <w:rFonts w:ascii="Times New Roman" w:cs="Times New Roman" w:eastAsia="Times New Roman" w:hAnsi="Times New Roman"/>
            <w:b w:val="0"/>
            <w:i w:val="0"/>
            <w:smallCaps w:val="0"/>
            <w:strike w:val="0"/>
            <w:color w:val="333399"/>
            <w:sz w:val="22"/>
            <w:szCs w:val="22"/>
            <w:u w:val="single"/>
            <w:shd w:fill="auto" w:val="clear"/>
            <w:vertAlign w:val="baseline"/>
            <w:rtl w:val="0"/>
          </w:rPr>
          <w:t xml:space="preserve">Правилам</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регистрации и экспертизы ЕАЭС (согласно решениям Совета Евразийской экономической комиссии от 3 ноября 2016 года № 78 и от 12 февраля 2016 года № 46).</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bookmarkStart w:colFirst="0" w:colLast="0" w:name="bookmark=id.lnxbz9" w:id="13"/>
      <w:bookmarkEnd w:id="1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Поддержка предпринимательской инициативы</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надлежащей аптечной практики (GPP) при закупе фармацевтических услуг.</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Для получения преимущества на заключение договора закупа или договора поставки к заявке:</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     </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Требования к языку тендерной заявки</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 Договор составляется на казахском и русском языках.</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szCs w:val="32"/>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s1">
    <w:name w:val="s1"/>
    <w:next w:val="s1"/>
    <w:autoRedefine w:val="0"/>
    <w:hidden w:val="0"/>
    <w:qFormat w:val="0"/>
    <w:rPr>
      <w:rFonts w:ascii="Times New Roman" w:cs="Times New Roman" w:hAnsi="Times New Roman" w:hint="default"/>
      <w:b w:val="1"/>
      <w:bCs w:val="1"/>
      <w:color w:val="000000"/>
      <w:w w:val="100"/>
      <w:position w:val="-1"/>
      <w:sz w:val="24"/>
      <w:szCs w:val="24"/>
      <w:u w:val="none"/>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Arial Unicode MS" w:hAnsi="Courier New"/>
      <w:color w:val="000000"/>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513"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character" w:styleId="s0">
    <w:name w:val="s0"/>
    <w:next w:val="s0"/>
    <w:autoRedefine w:val="0"/>
    <w:hidden w:val="0"/>
    <w:qFormat w:val="0"/>
    <w:rPr>
      <w:rFonts w:ascii="Times New Roman" w:cs="Times New Roman" w:hAnsi="Times New Roman" w:hint="default"/>
      <w:color w:val="000000"/>
      <w:w w:val="100"/>
      <w:position w:val="-1"/>
      <w:sz w:val="20"/>
      <w:szCs w:val="20"/>
      <w:u w:val="none"/>
      <w:effect w:val="none"/>
      <w:vertAlign w:val="baseline"/>
      <w:cs w:val="0"/>
      <w:em w:val="none"/>
      <w:lang/>
    </w:rPr>
  </w:style>
  <w:style w:type="character" w:styleId="Гиперссылка">
    <w:name w:val="Гиперссылка"/>
    <w:next w:val="Гиперссылка"/>
    <w:autoRedefine w:val="0"/>
    <w:hidden w:val="0"/>
    <w:qFormat w:val="0"/>
    <w:rPr>
      <w:rFonts w:ascii="Times New Roman" w:cs="Times New Roman" w:hAnsi="Times New Roman" w:hint="default"/>
      <w:color w:val="333399"/>
      <w:w w:val="100"/>
      <w:position w:val="-1"/>
      <w:u w:val="single"/>
      <w:effect w:val="none"/>
      <w:vertAlign w:val="baseline"/>
      <w:cs w:val="0"/>
      <w:em w:val="none"/>
      <w:lang/>
    </w:rPr>
  </w:style>
  <w:style w:type="paragraph" w:styleId="ЗнакЗнак1ЗнакЗнакЗнакЗнакЗнакЗнакЗнак">
    <w:name w:val="Знак Знак1 Знак Знак Знак Знак Знак Знак Знак"/>
    <w:basedOn w:val="Обычный"/>
    <w:next w:val="ЗнакЗнак1ЗнакЗнакЗнакЗнакЗнакЗнакЗнак"/>
    <w:autoRedefine w:val="0"/>
    <w:hidden w:val="0"/>
    <w:qFormat w:val="0"/>
    <w:pPr>
      <w:suppressAutoHyphens w:val="1"/>
      <w:spacing w:after="160" w:line="240"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en-US" w:val="en-US"/>
    </w:rPr>
  </w:style>
  <w:style w:type="character" w:styleId="s3">
    <w:name w:val="s3"/>
    <w:next w:val="s3"/>
    <w:autoRedefine w:val="0"/>
    <w:hidden w:val="0"/>
    <w:qFormat w:val="0"/>
    <w:rPr>
      <w:rFonts w:ascii="Times New Roman" w:cs="Times New Roman" w:hAnsi="Times New Roman" w:hint="default"/>
      <w:i w:val="1"/>
      <w:iCs w:val="1"/>
      <w:color w:val="ff0000"/>
      <w:w w:val="100"/>
      <w:position w:val="-1"/>
      <w:sz w:val="22"/>
      <w:szCs w:val="22"/>
      <w:u w:val="none"/>
      <w:effect w:val="none"/>
      <w:vertAlign w:val="baseline"/>
      <w:cs w:val="0"/>
      <w:em w:val="none"/>
      <w:lang/>
    </w:rPr>
  </w:style>
  <w:style w:type="character" w:styleId="s9">
    <w:name w:val="s9"/>
    <w:next w:val="s9"/>
    <w:autoRedefine w:val="0"/>
    <w:hidden w:val="0"/>
    <w:qFormat w:val="0"/>
    <w:rPr>
      <w:i w:val="1"/>
      <w:iCs w:val="1"/>
      <w:color w:val="333399"/>
      <w:w w:val="100"/>
      <w:position w:val="-1"/>
      <w:u w:val="single"/>
      <w:effect w:val="none"/>
      <w:vertAlign w:val="baseline"/>
      <w:cs w:val="0"/>
      <w:em w:val="none"/>
      <w:lang/>
    </w:rPr>
  </w:style>
  <w:style w:type="paragraph" w:styleId="Iau?iue">
    <w:name w:val="Iau?iue"/>
    <w:next w:val="Iau?iue"/>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Заголовок3Знак">
    <w:name w:val="Заголовок 3 Знак"/>
    <w:next w:val="Заголовок3Знак"/>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j13">
    <w:name w:val="j13"/>
    <w:basedOn w:val="Обычный"/>
    <w:next w:val="j1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s2">
    <w:name w:val="s2"/>
    <w:basedOn w:val="Основнойшрифтабзаца"/>
    <w:next w:val="s2"/>
    <w:autoRedefine w:val="0"/>
    <w:hidden w:val="0"/>
    <w:qFormat w:val="0"/>
    <w:rPr>
      <w:w w:val="100"/>
      <w:position w:val="-1"/>
      <w:effect w:val="none"/>
      <w:vertAlign w:val="baseline"/>
      <w:cs w:val="0"/>
      <w:em w:val="none"/>
      <w:lang/>
    </w:rPr>
  </w:style>
  <w:style w:type="character" w:styleId="note">
    <w:name w:val="note"/>
    <w:next w:val="note"/>
    <w:autoRedefine w:val="0"/>
    <w:hidden w:val="0"/>
    <w:qFormat w:val="0"/>
    <w:rPr>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dilet.zan.kz/rus/docs/K2000000360#z5" TargetMode="External"/><Relationship Id="rId8" Type="http://schemas.openxmlformats.org/officeDocument/2006/relationships/hyperlink" Target="https://adilet.zan.kz/rus/docs/H16EV000046#z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ECYF6mQMgUCFM10Y9BlqXockVQ==">AMUW2mVmw1JaMOgOPkyr3l0xubYKjT+Z3+IjLu44WdjvjQeM16FSJIhmqbe5QioT9wu6WJQjXfA76obwzbI586DRoWHgXEGnTCDrWfwM9SJ/7Z9e4qiHdQMxo5u3SIJKtoxOCVTIUVjf2ivLuHTbj6ZKGtxSOGhlzcDW9AviSAqi3oqGo5MwdnxsQ+yIxisuyXswSzv0GQklqC3pgG3iAwQFqyvmsP7nf0e1elb2gHjtiBmmRqzvNGYktsoDhxDr5+JsyB2XatOj9k8jyLeT1V62ULpZ823gjqMo2+xojLNDmk+s7YYI8kKW3lt/YO9SYB3wcRd+T1C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2021-06-25T03:28:00Z</dcterms:created>
  <dc:creator>snab</dc:creator>
</cp:coreProperties>
</file>

<file path=docProps/custom.xml><?xml version="1.0" encoding="utf-8"?>
<Properties xmlns="http://schemas.openxmlformats.org/officeDocument/2006/custom-properties" xmlns:vt="http://schemas.openxmlformats.org/officeDocument/2006/docPropsVTypes"/>
</file>