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23" w:rsidRPr="00EC2DB9" w:rsidRDefault="00677323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971" w:rsidRPr="00EC2DB9" w:rsidRDefault="00397971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EC2DB9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</w:t>
      </w:r>
      <w:r w:rsidR="006D2E7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</w:t>
      </w:r>
      <w:r w:rsidR="00C37B2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EC2DB9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03/03</w:t>
      </w:r>
      <w:r w:rsidR="0023516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EC2DB9" w:rsidRDefault="008749DA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EC2DB9" w:rsidRDefault="00397971" w:rsidP="00EC2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C2DB9" w:rsidRPr="00EC2D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медицинских изделий</w:t>
      </w:r>
      <w:r w:rsidR="006D2E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для иммуногистохимии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669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2127"/>
        <w:gridCol w:w="103"/>
        <w:gridCol w:w="2551"/>
        <w:gridCol w:w="12"/>
        <w:gridCol w:w="736"/>
        <w:gridCol w:w="833"/>
        <w:gridCol w:w="992"/>
        <w:gridCol w:w="1718"/>
      </w:tblGrid>
      <w:tr w:rsidR="006D2E7B" w:rsidTr="006D2E7B">
        <w:trPr>
          <w:trHeight w:val="26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Ед.изм.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6D2E7B" w:rsidTr="006D2E7B">
        <w:trPr>
          <w:trHeight w:val="242"/>
        </w:trPr>
        <w:tc>
          <w:tcPr>
            <w:tcW w:w="5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Медицинские изделия для иммуногистохимии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D2E7B" w:rsidTr="006D2E7B">
        <w:trPr>
          <w:trHeight w:val="5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 Monoclonal Mo a Hu Smooth Muscle Aktin  Клон 1A4, FLEX, готовые к использованию(Линк)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295 195,00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295 195,00</w:t>
            </w:r>
          </w:p>
        </w:tc>
      </w:tr>
      <w:tr w:rsidR="006D2E7B" w:rsidTr="006D2E7B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 a Hu BCL6 Protein, Clone PG-B6p, RTU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к чел. BCL6 Протеину, Клон PG-B6p, FLEX, готовые к использованию(Линк)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295 195,00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295 195,00</w:t>
            </w:r>
          </w:p>
        </w:tc>
      </w:tr>
      <w:tr w:rsidR="006D2E7B" w:rsidTr="006D2E7B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 a Hu BCL2 Oncoprotein, Clone 124, RTU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к чел. BCL2 Онкопротеину, Клон 124, FLEX, готовые к использованию(Линк)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295 195,00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295 195,00</w:t>
            </w:r>
          </w:p>
        </w:tc>
      </w:tr>
      <w:tr w:rsidR="006D2E7B" w:rsidTr="006D2E7B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 a Hu CD30, Clone Ber-H2, RTU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к чел. CD30, Клон Ber-H2, FLEX, готовые к использованию(Линк)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295 195,00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295 195,00</w:t>
            </w:r>
          </w:p>
        </w:tc>
      </w:tr>
      <w:tr w:rsidR="006D2E7B" w:rsidTr="006D2E7B">
        <w:trPr>
          <w:trHeight w:val="18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HercepTest™ for Automated Link Platforms, Breast + GastricИммуногистохимический тест HercepTest для определения сверхэкспресии белка HER2 в образцах рака молочной железы и желудка  на 50 определений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Иммуногистохимический тестHercepTest на 50 определений,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совместимый с Aвтостейнер 48Link,  (флаконы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2 736 626,00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10 946 504,00</w:t>
            </w:r>
          </w:p>
        </w:tc>
      </w:tr>
      <w:tr w:rsidR="006D2E7B" w:rsidTr="006D2E7B">
        <w:trPr>
          <w:trHeight w:val="117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 Polyclonal Rb a Hu CD3*, RTUПоликлон. крол.Ат к чел. CD3,FLEX, готовые к использованию(Линк)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211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P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Mouse Anti-Human Hepatocyte, Clone OCH1E5, Ready-to-Use (Link)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Антитела моноклональные мышиные к человеческим Гепатоцит, клон OCH1E5, Готовые к применению, ФЛЕКС, Линк 12 мл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 a Hu CD10, Clone 56C6, RTU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к чел. CD10, Клон 56С6, FLEX, готовые к использованию(Линк)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164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Mouse, X-Hu Progest Recept, Clone PgR 636, RTU, Link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к чел. Рецептору Прогестерона, Клон PgR 636, FLEX, готовые к использованию(Линк)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394 518,60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1 578 074,40</w:t>
            </w:r>
          </w:p>
        </w:tc>
      </w:tr>
      <w:tr w:rsidR="006D2E7B" w:rsidTr="006D2E7B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 a Hu Ki-67 Antigen, Clone MIB-1, RTU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к чел. Ki-67 Антигену, Клон MIB-1, FLEX,готовые к использованию(Линк)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1 180 779,60</w:t>
            </w:r>
          </w:p>
        </w:tc>
      </w:tr>
      <w:tr w:rsidR="006D2E7B" w:rsidTr="006D2E7B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 a Hu CD20cy, Clone L26, RTU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к чел. CD20су, Клон L26, FLEX, готовые к использованию(Линк)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Mouse X-H CD5 Clone 4C7, RTU, (Link)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к чел. СD5, Клон 4С7,FLEX, готовые к использованию(Линк)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164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Monoclonal Mo a Hu Estrogen Receptor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α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Clone 1D5, RTU, (Link)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к чел.  альфа Рецептору Эстрогена , Клон 1D5, FLEX, готовые к использованию(Линк)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394 518,60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1 578 074,40</w:t>
            </w:r>
          </w:p>
        </w:tc>
      </w:tr>
      <w:tr w:rsidR="006D2E7B" w:rsidTr="006D2E7B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Rabbit X-H Cyclin D1 Clone EP12, RTU, (Link)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крол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к чел. Циклину D1, Клон ЕР12,FLEX, готовые к использованию(Линк)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93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EnVision™ FLEX, High pH, (Link)Система визуализации  EnVision FLEX+, Высокий pH, (Линк)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визуализации  EnVision FLEX+, Высокий pH, 400-600 тестов,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совместимая с Aвтостейнер 48Link , 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2 708 842,50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8 126 527,50</w:t>
            </w:r>
          </w:p>
        </w:tc>
      </w:tr>
      <w:tr w:rsidR="006D2E7B" w:rsidTr="006D2E7B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 a Hu CA 125, Clone M11, RTU, (Link)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к чел. СА 125, Клон М11, FLEX, готовые к использованию(Линк)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Mouse, X-H Melanosome, Clone HMB-45, RTU, Link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к чел. Меланосоме, Клон HMB-45, FLEX, готовые к использованию (Линк)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 RxH AMACR, Clone 13H4, RTU (Link)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к чел.AMACR, Клон 13Н4, FLEX, готовые к использованию(Линк)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 a Hu CD21, Clone 1F8, RTU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к чел. CD21, Клон 1F8, FLEX, готовые к использованию(Линк)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P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EnVision™ FLEX Target Retrieval Solution, Low pH (50x)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Буфер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демаскировки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EnVision™ FLEX Target Retrieval Solution,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Низкий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pH (50x)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Буфер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демаскировки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EnVision™ FLEX Target Retrieval Solution,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Низкий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pH (50x)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</w:t>
            </w:r>
            <w:r w:rsidRPr="006D2E7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маркировки</w:t>
            </w:r>
            <w:r w:rsidRPr="006D2E7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IVD CE.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472 311,00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1 889 244,00</w:t>
            </w:r>
          </w:p>
        </w:tc>
      </w:tr>
      <w:tr w:rsidR="006D2E7B" w:rsidTr="006D2E7B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Polyclonal Rb a Hu Thyreoglobulin, RTU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Поликлон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Крол.Ат к Чел. Тиреоглобулину, FLEX, готовые к использованию(Линк)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 a Vimentin, Clone V9, RTU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Мыш. Ат к Виментину, Клон V9, FLEX, готовые к использованию(Линк)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164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 a Hu Cytokeratin 5/6, Clone D5/16 B4, RTU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Мыш. Ат к Чел. Цитокератину 5/6, Клон D5/16 В4, FLEX, готовые к использованию(Линк)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 a Hu NSE, Clone BBS/NC/VI-H14, RTU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Мыш. Ат к Чел. NSE, Клон BBS/NC/VI-H14, FLEX, готовые к использованию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164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 a Hu Synaptophysin, Clone DAK-SYNAP, RTU, Link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Мыш. АТ к Чел. Синаптофизину, Клон DAK-SYNAP, FLEX, готовые к использованию(Линк)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 a Hu p63 Protein, Clone DAK-p63 RTU, Link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Мыш. АТ к Чел. p63 Protein, Клон DAK-p63,  FLEX, готовые к использованию(Линк)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23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Микротомные ножи S35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Микротомные ножи S35, в упаковке 50 штук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65 000,00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260 000,00</w:t>
            </w:r>
          </w:p>
        </w:tc>
      </w:tr>
      <w:tr w:rsidR="006D2E7B" w:rsidTr="006D2E7B">
        <w:trPr>
          <w:trHeight w:val="93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Dako Pen, for Immunocytochemistry Карандаш  для Иммуноцитохимии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288 249,15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576 498,30</w:t>
            </w:r>
          </w:p>
        </w:tc>
      </w:tr>
      <w:tr w:rsidR="006D2E7B" w:rsidTr="006D2E7B">
        <w:trPr>
          <w:trHeight w:val="211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P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EnVision™FLEX Hematoxylin (Link) FLEX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Гематоксилин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Для диагностики in vitro. Этот гистологический окрашивающий реагент подходит для визуализация ядер в срезах тканей и клеточных  препаратах после проведения ИГХ реакции  Поставляется в пластиковых прямоугольных флаконах, , объемом 45 мл, с геометрией подходящей для использования в приборе Автостейнер Линк 48.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400-600 тестов,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3х45 мл 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312 558,75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2 500 470,00</w:t>
            </w:r>
          </w:p>
        </w:tc>
      </w:tr>
      <w:tr w:rsidR="006D2E7B" w:rsidTr="006D2E7B">
        <w:trPr>
          <w:trHeight w:val="23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Hematoxylin (Link)Гематоксилин(Линк)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Для диагностики in vitro. Этот гистологический окрашивающий реагент подходит для визуализация ядер в срезах тканей и клеточных  препаратах после проведения ИГХ реакции набором Герцептест.  Поставляется в пластиковых прямоугольных флаконах, , объемом 45 мл, с геометрией подходящей для использования в приборе Автостейнер Линк 48.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 мл 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201 426,75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1 208 560,50</w:t>
            </w:r>
          </w:p>
        </w:tc>
      </w:tr>
      <w:tr w:rsidR="006D2E7B" w:rsidTr="006D2E7B">
        <w:trPr>
          <w:trHeight w:val="117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P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Polyclonal Rb a S100, RTU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Поликлон. крол.Ат к S100, FLEX, готовые к использованию(Линк)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 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 тестов,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 мл 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211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P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Mouse Anti-Human Caldesmon, Clone h-CD, Ready-to-Use (Link)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Антитела моноклональные мышиные к человеческим Кальдесмон, клон h-CD, Готовые к применению, ФЛЕКС, Линк, 12 мл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 тестов,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 мл 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211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P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Polyclonal Rabbit Anti-Human Calcitonin, Ready-to-Use (Link)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Антитела поликлональные кроличьи к человеческим Кальцитонин, Готовые к применению, ФЛЕКС, Линк, 12 мл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Calcitonin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 тестов,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 мл 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18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P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Mouse Anti-Myogenin Clone: F5D, RTU, (Link)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Антитела моноклональные мышиные к человеческим Миогенин, клон F5D, Готовые к применению, ФЛЕКС, Линк, 12 мл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 тестов,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 мл 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164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P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 a Hu Muscle Actin, Clone HHF35, RTU, (Link)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Моноклон. Мыш. Ат к Чел. Мышечному Актину, Клон HHF35, FLEX, готовые к использованию(Линк)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 тестов,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 мл 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211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P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Mouse, Anti TTF, TTF-1Clone 8G7G3/1, RTU, Link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Антитела моноклональные мышиные к Тиреоидному Фактору Транскрипции, клон 8G7G3/1, Готовые к применению, ФЛЕКС, Линк 12 мл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211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P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 X-H Renal Cell Carcinoma Clone: SPM314, RTU, (Link)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Антитела моноклональные мышиные к человеческим Маркер Почечно-клеточной Карциномы, Клон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SPM314, Готовые к применению, ФЛЕКС, Линк, 12 мл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Первичные антителадля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18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P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Mouse X-H CDX-2 Clone: DAK-CDX2, RTU, (Link)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Антитела моноклональные мышиные к человеческим CDX-2, клон DAK-CDX-2, Готовые к применению, ФЛЕКС, Линк 12 мл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18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P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 a Hu Cytokeratin 7, Clone OV-TL 12/30, RTU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Антитела моноклональные мышиные к человеческим Цитокератин 7, клон OV-TL 12/30, Готовые к применению, ФЛЕКС, Линк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25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P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Mouse Anti-Human Prostate-Specific Membrane Antigen, Clone 3E6 (Link)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Антитела моноклональные мышиные к человеческим Простат-Специфичный Мембранный Антиген, клон 3E6 , Готовые к применению, ФЛЕКС, Линк,12 мл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18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P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Polyclonal Guinea Pig Anti-Insulin, Ready-to-Use (Link)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Антитела поликлональные к Инсулину, Готовые к применению, ФЛЕКС, Линк, 12 мл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18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P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Polyclonal Rabbit Anti-Human Alpha-1-Antitrypsin, Ready-to-Use (Link)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Антитела поликлональные кроличьи к человеческим Альфа-1-Антитрипсин, Готовые 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применению, ФЛЕКС, Линк, 12 мл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Первичные антителадля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211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P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Monoclonal Mouse Anti-Human Mammaglobin, Clone 304-1A5, Ready-to-Use (Link)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Антитела моноклональные мышиные к человеческим Маммаглобин клон 304-1А5, Готовые к применению, ФЛЕКС, Линк 12 мл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маркировки IVD CE.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295 194,90</w:t>
            </w:r>
          </w:p>
        </w:tc>
      </w:tr>
      <w:tr w:rsidR="006D2E7B" w:rsidTr="006D2E7B">
        <w:trPr>
          <w:trHeight w:val="4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Лента для маркировки предметных стекол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604 280,25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1 208 560,50</w:t>
            </w:r>
          </w:p>
        </w:tc>
      </w:tr>
      <w:tr w:rsidR="006D2E7B" w:rsidTr="006D2E7B">
        <w:trPr>
          <w:trHeight w:val="18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P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Hematoxylin, Dako, Up to 3000 tests, 1 L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 к использованию Dako реагенты поставляются в закрытых контейнерах, с уникальной конструкцией формы бутыля, доступная только для Dako CoverStainer, скошенный край с тыльной стороны, прозрачной полосой с градуировкой на фронтальной стороне. Специальной крышкой оснащенной отверстиями для трубок помпы Dako CoverStainer. Pегистрация в Республике Казахстан.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201 426,75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2 014 267,50</w:t>
            </w:r>
          </w:p>
        </w:tc>
      </w:tr>
      <w:tr w:rsidR="006D2E7B" w:rsidTr="006D2E7B">
        <w:trPr>
          <w:trHeight w:val="18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P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Eosin, Dako, Up to 3000 tests, 1 L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Готовые к использованию Dako реагенты поставляются в закрытых контейнерах, с уникальной конструкцией формы бутыля, доступная только для Dako CoverStainer, скошенный край с тыльной стороны, прозрачной полосой с градуировкой на фронтальной стороне. Специальной крышкой оснащенной отверстиями для трубок помпы Dako CoverStainerю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197 954,40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1 979 544,00</w:t>
            </w:r>
          </w:p>
        </w:tc>
      </w:tr>
      <w:tr w:rsidR="006D2E7B" w:rsidTr="006D2E7B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P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2E7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Cover Glass, Dako, 5 x 200 pcs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Поставляются в двойных вертикальных пластиковых контейнерах по 200 шт в каждом. имеют особую пластичность, степень гибкости для работы в вакуумным держателем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единственные рекомендованые для использования с Dako CoverStainer.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177 117,15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6 199 100,25</w:t>
            </w:r>
          </w:p>
        </w:tc>
      </w:tr>
      <w:tr w:rsidR="006D2E7B" w:rsidTr="006D2E7B">
        <w:trPr>
          <w:trHeight w:val="18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Mounting Medium, 473 mL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Dako Mounting Medium - это среда с низкой вязкостью и быстрой сушкой, предназначенная для использования с покровным стеклом Dako Cover Glass.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Поставляется в прозрачных пластиковых бутылях с узким горлом.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к использованию и подходит для использования с Dako CoverStainer.</w:t>
            </w:r>
          </w:p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Pегистрация в Республике Казахстан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138 915,00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2 500 470,00</w:t>
            </w:r>
          </w:p>
        </w:tc>
      </w:tr>
      <w:tr w:rsidR="00820564" w:rsidTr="00820564">
        <w:trPr>
          <w:trHeight w:val="93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64" w:rsidRDefault="0082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0564" w:rsidRDefault="0082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Подсинивающий буфер для автоматической станции окрашивания Dako CoverStainer Link</w:t>
            </w:r>
          </w:p>
        </w:tc>
        <w:tc>
          <w:tcPr>
            <w:tcW w:w="2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0564" w:rsidRDefault="0082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0564" w:rsidRDefault="0082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0564" w:rsidRDefault="0082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64" w:rsidRDefault="008205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135 442,65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0564" w:rsidRDefault="008205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1 354 426,50</w:t>
            </w:r>
          </w:p>
        </w:tc>
      </w:tr>
      <w:tr w:rsidR="006D2E7B" w:rsidTr="006D2E7B">
        <w:trPr>
          <w:trHeight w:val="23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сумма закупа: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54 842 533,55</w:t>
            </w:r>
          </w:p>
        </w:tc>
      </w:tr>
      <w:bookmarkEnd w:id="0"/>
    </w:tbl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6D2E7B">
        <w:rPr>
          <w:rFonts w:ascii="Times New Roman" w:hAnsi="Times New Roman" w:cs="Times New Roman"/>
          <w:sz w:val="24"/>
          <w:szCs w:val="24"/>
        </w:rPr>
        <w:t>54 842 533,55</w:t>
      </w:r>
      <w:r w:rsidRPr="00EC2DB9">
        <w:rPr>
          <w:rFonts w:ascii="Times New Roman" w:hAnsi="Times New Roman" w:cs="Times New Roman"/>
          <w:sz w:val="24"/>
          <w:szCs w:val="24"/>
        </w:rPr>
        <w:t>,00 (</w:t>
      </w:r>
      <w:r w:rsidR="006D2E7B">
        <w:rPr>
          <w:rFonts w:ascii="Times New Roman" w:hAnsi="Times New Roman" w:cs="Times New Roman"/>
          <w:sz w:val="24"/>
          <w:szCs w:val="24"/>
        </w:rPr>
        <w:t xml:space="preserve">пятьдксят четыре миллиона восемьсот сорок две тысячи пятьсот тридцать три </w:t>
      </w:r>
      <w:r w:rsidRPr="00EC2DB9">
        <w:rPr>
          <w:rFonts w:ascii="Times New Roman" w:hAnsi="Times New Roman" w:cs="Times New Roman"/>
          <w:sz w:val="24"/>
          <w:szCs w:val="24"/>
        </w:rPr>
        <w:t xml:space="preserve">тенге </w:t>
      </w:r>
      <w:r w:rsidR="006D2E7B">
        <w:rPr>
          <w:rFonts w:ascii="Times New Roman" w:hAnsi="Times New Roman" w:cs="Times New Roman"/>
          <w:sz w:val="24"/>
          <w:szCs w:val="24"/>
        </w:rPr>
        <w:t>55</w:t>
      </w:r>
      <w:r w:rsidRPr="00EC2DB9">
        <w:rPr>
          <w:rFonts w:ascii="Times New Roman" w:hAnsi="Times New Roman" w:cs="Times New Roman"/>
          <w:sz w:val="24"/>
          <w:szCs w:val="24"/>
        </w:rPr>
        <w:t xml:space="preserve"> тиын) тенге.</w:t>
      </w:r>
    </w:p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EC2DB9">
          <w:rPr>
            <w:rStyle w:val="a8"/>
            <w:color w:val="auto"/>
            <w:sz w:val="24"/>
            <w:szCs w:val="24"/>
          </w:rPr>
          <w:t>http://</w:t>
        </w:r>
        <w:r w:rsidRPr="00EC2DB9">
          <w:rPr>
            <w:rStyle w:val="a8"/>
            <w:color w:val="auto"/>
            <w:sz w:val="24"/>
            <w:szCs w:val="24"/>
            <w:lang w:val="en-US"/>
          </w:rPr>
          <w:t>onko</w:t>
        </w:r>
        <w:r w:rsidRPr="00EC2DB9">
          <w:rPr>
            <w:rStyle w:val="a8"/>
            <w:color w:val="auto"/>
            <w:sz w:val="24"/>
            <w:szCs w:val="24"/>
          </w:rPr>
          <w:t>-</w:t>
        </w:r>
        <w:r w:rsidRPr="00EC2DB9">
          <w:rPr>
            <w:rStyle w:val="a8"/>
            <w:color w:val="auto"/>
            <w:sz w:val="24"/>
            <w:szCs w:val="24"/>
            <w:lang w:val="en-US"/>
          </w:rPr>
          <w:t>vko</w:t>
        </w:r>
        <w:r w:rsidRPr="00EC2DB9">
          <w:rPr>
            <w:rStyle w:val="a8"/>
            <w:color w:val="auto"/>
            <w:sz w:val="24"/>
            <w:szCs w:val="24"/>
          </w:rPr>
          <w:t>.kz/</w:t>
        </w:r>
      </w:hyperlink>
      <w:r w:rsidRPr="00EC2DB9">
        <w:rPr>
          <w:rFonts w:ascii="Times New Roman" w:hAnsi="Times New Roman" w:cs="Times New Roman"/>
          <w:sz w:val="24"/>
          <w:szCs w:val="24"/>
        </w:rPr>
        <w:t>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Начало предоставления тендерных заявок с 1</w:t>
      </w:r>
      <w:r w:rsidR="006D2E7B">
        <w:rPr>
          <w:rFonts w:ascii="Times New Roman" w:hAnsi="Times New Roman" w:cs="Times New Roman"/>
          <w:sz w:val="24"/>
          <w:szCs w:val="24"/>
        </w:rPr>
        <w:t>4</w:t>
      </w:r>
      <w:r w:rsidRPr="00EC2DB9">
        <w:rPr>
          <w:rFonts w:ascii="Times New Roman" w:hAnsi="Times New Roman" w:cs="Times New Roman"/>
          <w:sz w:val="24"/>
          <w:szCs w:val="24"/>
        </w:rPr>
        <w:t>.00 часов «</w:t>
      </w:r>
      <w:r w:rsidR="00EC2DB9">
        <w:rPr>
          <w:rFonts w:ascii="Times New Roman" w:hAnsi="Times New Roman" w:cs="Times New Roman"/>
          <w:sz w:val="24"/>
          <w:szCs w:val="24"/>
        </w:rPr>
        <w:t>03</w:t>
      </w:r>
      <w:r w:rsidRPr="00EC2DB9">
        <w:rPr>
          <w:rFonts w:ascii="Times New Roman" w:hAnsi="Times New Roman" w:cs="Times New Roman"/>
          <w:sz w:val="24"/>
          <w:szCs w:val="24"/>
        </w:rPr>
        <w:t>» </w:t>
      </w:r>
      <w:r w:rsidR="00EC2DB9">
        <w:rPr>
          <w:rFonts w:ascii="Times New Roman" w:hAnsi="Times New Roman" w:cs="Times New Roman"/>
          <w:sz w:val="24"/>
          <w:szCs w:val="24"/>
        </w:rPr>
        <w:t>марта</w:t>
      </w:r>
      <w:r w:rsidRPr="00EC2DB9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EC2DB9">
        <w:rPr>
          <w:rFonts w:ascii="Times New Roman" w:hAnsi="Times New Roman" w:cs="Times New Roman"/>
          <w:sz w:val="24"/>
          <w:szCs w:val="24"/>
        </w:rPr>
        <w:t>20</w:t>
      </w:r>
      <w:r w:rsidRPr="00EC2DB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2DB9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EC2DB9">
        <w:rPr>
          <w:rFonts w:ascii="Times New Roman" w:hAnsi="Times New Roman" w:cs="Times New Roman"/>
          <w:sz w:val="24"/>
          <w:szCs w:val="24"/>
          <w:u w:val="single"/>
        </w:rPr>
        <w:t>ставления тендерных заявок до 1</w:t>
      </w:r>
      <w:r w:rsidR="006D2E7B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EC2DB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E1100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EC2DB9">
        <w:rPr>
          <w:rFonts w:ascii="Times New Roman" w:hAnsi="Times New Roman" w:cs="Times New Roman"/>
          <w:sz w:val="24"/>
          <w:szCs w:val="24"/>
          <w:u w:val="single"/>
        </w:rPr>
        <w:t>марта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EC2DB9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C2DB9">
        <w:rPr>
          <w:rFonts w:ascii="Times New Roman" w:hAnsi="Times New Roman" w:cs="Times New Roman"/>
          <w:sz w:val="24"/>
          <w:szCs w:val="24"/>
        </w:rPr>
        <w:t xml:space="preserve"> </w:t>
      </w:r>
      <w:r w:rsidRPr="00EC2DB9">
        <w:rPr>
          <w:rFonts w:ascii="Times New Roman" w:hAnsi="Times New Roman" w:cs="Times New Roman"/>
          <w:sz w:val="24"/>
          <w:szCs w:val="24"/>
        </w:rPr>
        <w:t>(</w:t>
      </w:r>
      <w:r w:rsidR="008749DA" w:rsidRPr="00EC2DB9">
        <w:rPr>
          <w:rFonts w:ascii="Times New Roman" w:hAnsi="Times New Roman" w:cs="Times New Roman"/>
          <w:sz w:val="24"/>
          <w:szCs w:val="24"/>
        </w:rPr>
        <w:t>корпус 4</w:t>
      </w:r>
      <w:r w:rsidRPr="00EC2DB9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Тендерные заявки будут вскрываться в 1</w:t>
      </w:r>
      <w:r w:rsidR="006D2E7B">
        <w:rPr>
          <w:rFonts w:ascii="Times New Roman" w:hAnsi="Times New Roman" w:cs="Times New Roman"/>
          <w:sz w:val="24"/>
          <w:szCs w:val="24"/>
        </w:rPr>
        <w:t>4</w:t>
      </w:r>
      <w:r w:rsidRPr="00EC2DB9">
        <w:rPr>
          <w:rFonts w:ascii="Times New Roman" w:hAnsi="Times New Roman" w:cs="Times New Roman"/>
          <w:sz w:val="24"/>
          <w:szCs w:val="24"/>
        </w:rPr>
        <w:t>.</w:t>
      </w:r>
      <w:r w:rsidR="008749DA" w:rsidRPr="00EC2DB9">
        <w:rPr>
          <w:rFonts w:ascii="Times New Roman" w:hAnsi="Times New Roman" w:cs="Times New Roman"/>
          <w:sz w:val="24"/>
          <w:szCs w:val="24"/>
        </w:rPr>
        <w:t>30</w:t>
      </w:r>
      <w:r w:rsidRPr="00EC2DB9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EC2DB9">
        <w:rPr>
          <w:rFonts w:ascii="Times New Roman" w:hAnsi="Times New Roman" w:cs="Times New Roman"/>
          <w:sz w:val="24"/>
          <w:szCs w:val="24"/>
        </w:rPr>
        <w:t>2</w:t>
      </w:r>
      <w:r w:rsidR="00E646D8">
        <w:rPr>
          <w:rFonts w:ascii="Times New Roman" w:hAnsi="Times New Roman" w:cs="Times New Roman"/>
          <w:sz w:val="24"/>
          <w:szCs w:val="24"/>
        </w:rPr>
        <w:t>6</w:t>
      </w:r>
      <w:r w:rsidR="00161B3D" w:rsidRPr="00EC2DB9">
        <w:rPr>
          <w:rFonts w:ascii="Times New Roman" w:hAnsi="Times New Roman" w:cs="Times New Roman"/>
          <w:sz w:val="24"/>
          <w:szCs w:val="24"/>
        </w:rPr>
        <w:t xml:space="preserve">» </w:t>
      </w:r>
      <w:r w:rsidR="00EC2DB9">
        <w:rPr>
          <w:rFonts w:ascii="Times New Roman" w:hAnsi="Times New Roman" w:cs="Times New Roman"/>
          <w:sz w:val="24"/>
          <w:szCs w:val="24"/>
        </w:rPr>
        <w:t>марта</w:t>
      </w:r>
      <w:r w:rsidR="00161B3D" w:rsidRPr="00EC2DB9">
        <w:rPr>
          <w:rFonts w:ascii="Times New Roman" w:hAnsi="Times New Roman" w:cs="Times New Roman"/>
          <w:sz w:val="24"/>
          <w:szCs w:val="24"/>
        </w:rPr>
        <w:t xml:space="preserve"> 2020</w:t>
      </w:r>
      <w:r w:rsidRPr="00EC2DB9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C2DB9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EC2DB9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Pr="00EC2DB9" w:rsidRDefault="001E6FD0" w:rsidP="00EC2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6FD0" w:rsidRPr="00EC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E8B" w:rsidRDefault="00FC7E8B" w:rsidP="00397971">
      <w:pPr>
        <w:spacing w:after="0" w:line="240" w:lineRule="auto"/>
      </w:pPr>
      <w:r>
        <w:separator/>
      </w:r>
    </w:p>
  </w:endnote>
  <w:endnote w:type="continuationSeparator" w:id="0">
    <w:p w:rsidR="00FC7E8B" w:rsidRDefault="00FC7E8B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E8B" w:rsidRDefault="00FC7E8B" w:rsidP="00397971">
      <w:pPr>
        <w:spacing w:after="0" w:line="240" w:lineRule="auto"/>
      </w:pPr>
      <w:r>
        <w:separator/>
      </w:r>
    </w:p>
  </w:footnote>
  <w:footnote w:type="continuationSeparator" w:id="0">
    <w:p w:rsidR="00FC7E8B" w:rsidRDefault="00FC7E8B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5116"/>
    <w:rsid w:val="00056D12"/>
    <w:rsid w:val="000A0A03"/>
    <w:rsid w:val="000A21F9"/>
    <w:rsid w:val="000B7353"/>
    <w:rsid w:val="000C06C9"/>
    <w:rsid w:val="000D09A4"/>
    <w:rsid w:val="000D2CEB"/>
    <w:rsid w:val="001600BE"/>
    <w:rsid w:val="00161B3D"/>
    <w:rsid w:val="001954BA"/>
    <w:rsid w:val="001B417F"/>
    <w:rsid w:val="001C05C6"/>
    <w:rsid w:val="001C309A"/>
    <w:rsid w:val="001C40E4"/>
    <w:rsid w:val="001E3B2C"/>
    <w:rsid w:val="001E3B47"/>
    <w:rsid w:val="001E6FD0"/>
    <w:rsid w:val="00212EF6"/>
    <w:rsid w:val="002165CA"/>
    <w:rsid w:val="00221369"/>
    <w:rsid w:val="00232CF2"/>
    <w:rsid w:val="0023516D"/>
    <w:rsid w:val="0024087B"/>
    <w:rsid w:val="002477F6"/>
    <w:rsid w:val="002577B4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7433A"/>
    <w:rsid w:val="00575AF7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33AE5"/>
    <w:rsid w:val="006509FA"/>
    <w:rsid w:val="0065168B"/>
    <w:rsid w:val="006600CB"/>
    <w:rsid w:val="00674A61"/>
    <w:rsid w:val="00677323"/>
    <w:rsid w:val="00686D1A"/>
    <w:rsid w:val="0069227B"/>
    <w:rsid w:val="0069621B"/>
    <w:rsid w:val="00696887"/>
    <w:rsid w:val="006A495F"/>
    <w:rsid w:val="006B48F7"/>
    <w:rsid w:val="006C1C46"/>
    <w:rsid w:val="006C630C"/>
    <w:rsid w:val="006D2E7B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7E545C"/>
    <w:rsid w:val="00820564"/>
    <w:rsid w:val="00837938"/>
    <w:rsid w:val="00855574"/>
    <w:rsid w:val="008561B9"/>
    <w:rsid w:val="00862B8F"/>
    <w:rsid w:val="008749DA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67428"/>
    <w:rsid w:val="00971FAB"/>
    <w:rsid w:val="00977672"/>
    <w:rsid w:val="0098125D"/>
    <w:rsid w:val="009A3A8F"/>
    <w:rsid w:val="009C4629"/>
    <w:rsid w:val="009D30C1"/>
    <w:rsid w:val="009D4099"/>
    <w:rsid w:val="009D49A3"/>
    <w:rsid w:val="009F2204"/>
    <w:rsid w:val="009F2A5E"/>
    <w:rsid w:val="00A250CC"/>
    <w:rsid w:val="00A650E0"/>
    <w:rsid w:val="00A77F19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1100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646D8"/>
    <w:rsid w:val="00E733E1"/>
    <w:rsid w:val="00E73B99"/>
    <w:rsid w:val="00E755EE"/>
    <w:rsid w:val="00E83C32"/>
    <w:rsid w:val="00EA1DA1"/>
    <w:rsid w:val="00EA2B9F"/>
    <w:rsid w:val="00EA3D40"/>
    <w:rsid w:val="00EC2DB9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C7E8B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2913</Words>
  <Characters>16610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13</cp:revision>
  <cp:lastPrinted>2019-01-23T10:22:00Z</cp:lastPrinted>
  <dcterms:created xsi:type="dcterms:W3CDTF">2020-03-02T12:24:00Z</dcterms:created>
  <dcterms:modified xsi:type="dcterms:W3CDTF">2020-03-02T13:12:00Z</dcterms:modified>
</cp:coreProperties>
</file>