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3A0439">
        <w:rPr>
          <w:rFonts w:ascii="Times New Roman" w:eastAsia="Times New Roman" w:hAnsi="Times New Roman" w:cs="Times New Roman"/>
          <w:b/>
          <w:bCs/>
          <w:color w:val="000000"/>
          <w:sz w:val="24"/>
          <w:szCs w:val="24"/>
          <w:lang w:eastAsia="ru-RU"/>
        </w:rPr>
        <w:t>7</w:t>
      </w:r>
      <w:r w:rsidR="002F5445">
        <w:rPr>
          <w:rFonts w:ascii="Times New Roman" w:eastAsia="Times New Roman" w:hAnsi="Times New Roman" w:cs="Times New Roman"/>
          <w:b/>
          <w:bCs/>
          <w:color w:val="000000"/>
          <w:sz w:val="24"/>
          <w:szCs w:val="24"/>
          <w:lang w:val="en-US" w:eastAsia="ru-RU"/>
        </w:rPr>
        <w:t>0</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2F5445">
        <w:rPr>
          <w:rFonts w:ascii="Times New Roman" w:eastAsia="Times New Roman" w:hAnsi="Times New Roman" w:cs="Times New Roman"/>
          <w:b/>
          <w:bCs/>
          <w:color w:val="000000"/>
          <w:sz w:val="24"/>
          <w:szCs w:val="24"/>
          <w:lang w:val="en-US" w:eastAsia="ru-RU"/>
        </w:rPr>
        <w:t>12</w:t>
      </w:r>
      <w:r w:rsidR="002F5445">
        <w:rPr>
          <w:rFonts w:ascii="Times New Roman" w:eastAsia="Times New Roman" w:hAnsi="Times New Roman" w:cs="Times New Roman"/>
          <w:b/>
          <w:bCs/>
          <w:color w:val="000000"/>
          <w:sz w:val="24"/>
          <w:szCs w:val="24"/>
          <w:lang w:eastAsia="ru-RU"/>
        </w:rPr>
        <w:t>/11</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 xml:space="preserve">Приобретение лекарственных </w:t>
      </w:r>
      <w:r w:rsidR="00BA6738">
        <w:rPr>
          <w:rFonts w:ascii="Times New Roman" w:eastAsia="Times New Roman" w:hAnsi="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E30DAF">
        <w:rPr>
          <w:rFonts w:ascii="Times New Roman" w:hAnsi="Times New Roman" w:cs="Times New Roman"/>
          <w:sz w:val="24"/>
          <w:szCs w:val="24"/>
        </w:rPr>
        <w:t>1</w:t>
      </w:r>
      <w:r w:rsidR="00CF1589" w:rsidRPr="00CF1589">
        <w:rPr>
          <w:rFonts w:ascii="Times New Roman" w:hAnsi="Times New Roman" w:cs="Times New Roman"/>
          <w:sz w:val="24"/>
          <w:szCs w:val="24"/>
        </w:rPr>
        <w:t>6</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2F5445">
        <w:rPr>
          <w:rFonts w:ascii="Times New Roman" w:hAnsi="Times New Roman" w:cs="Times New Roman"/>
          <w:sz w:val="24"/>
          <w:szCs w:val="24"/>
        </w:rPr>
        <w:t>12</w:t>
      </w:r>
      <w:r w:rsidRPr="00BF1AF5">
        <w:rPr>
          <w:rFonts w:ascii="Times New Roman" w:hAnsi="Times New Roman" w:cs="Times New Roman"/>
          <w:sz w:val="24"/>
          <w:szCs w:val="24"/>
        </w:rPr>
        <w:t>» </w:t>
      </w:r>
      <w:r w:rsidR="002F5445" w:rsidRPr="002F5445">
        <w:rPr>
          <w:rFonts w:ascii="Times New Roman" w:hAnsi="Times New Roman" w:cs="Times New Roman"/>
          <w:sz w:val="24"/>
          <w:szCs w:val="24"/>
        </w:rPr>
        <w:t>ноября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E30DAF">
        <w:rPr>
          <w:rFonts w:ascii="Times New Roman" w:hAnsi="Times New Roman" w:cs="Times New Roman"/>
          <w:sz w:val="24"/>
          <w:szCs w:val="24"/>
        </w:rPr>
        <w:t>1</w:t>
      </w:r>
      <w:r w:rsidR="00CF1589" w:rsidRPr="00CF1589">
        <w:rPr>
          <w:rFonts w:ascii="Times New Roman" w:hAnsi="Times New Roman" w:cs="Times New Roman"/>
          <w:sz w:val="24"/>
          <w:szCs w:val="24"/>
        </w:rPr>
        <w:t>6</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2F5445">
        <w:rPr>
          <w:rFonts w:ascii="Times New Roman" w:hAnsi="Times New Roman" w:cs="Times New Roman"/>
          <w:sz w:val="24"/>
          <w:szCs w:val="24"/>
        </w:rPr>
        <w:t>19</w:t>
      </w:r>
      <w:r w:rsidRPr="00BF1AF5">
        <w:rPr>
          <w:rFonts w:ascii="Times New Roman" w:hAnsi="Times New Roman" w:cs="Times New Roman"/>
          <w:sz w:val="24"/>
          <w:szCs w:val="24"/>
        </w:rPr>
        <w:t>» </w:t>
      </w:r>
      <w:r w:rsidR="002F5445">
        <w:rPr>
          <w:rFonts w:ascii="Times New Roman" w:hAnsi="Times New Roman" w:cs="Times New Roman"/>
          <w:sz w:val="24"/>
          <w:szCs w:val="24"/>
          <w:lang w:val="en-US"/>
        </w:rPr>
        <w:t>ноябр</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w:t>
      </w:r>
      <w:r w:rsidR="00CF1589" w:rsidRPr="00CF1589">
        <w:rPr>
          <w:rFonts w:ascii="Times New Roman" w:hAnsi="Times New Roman" w:cs="Times New Roman"/>
          <w:sz w:val="24"/>
          <w:szCs w:val="24"/>
        </w:rPr>
        <w:t>6</w:t>
      </w:r>
      <w:r w:rsidR="00DB46F9">
        <w:rPr>
          <w:rFonts w:ascii="Times New Roman" w:hAnsi="Times New Roman" w:cs="Times New Roman"/>
          <w:sz w:val="24"/>
          <w:szCs w:val="24"/>
        </w:rPr>
        <w:t>.</w:t>
      </w:r>
      <w:r w:rsidR="004C0245">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2F5445">
        <w:rPr>
          <w:rFonts w:ascii="Times New Roman" w:hAnsi="Times New Roman" w:cs="Times New Roman"/>
          <w:sz w:val="24"/>
          <w:szCs w:val="24"/>
        </w:rPr>
        <w:t>19</w:t>
      </w:r>
      <w:r w:rsidRPr="00BF1AF5">
        <w:rPr>
          <w:rFonts w:ascii="Times New Roman" w:hAnsi="Times New Roman" w:cs="Times New Roman"/>
          <w:sz w:val="24"/>
          <w:szCs w:val="24"/>
        </w:rPr>
        <w:t xml:space="preserve">» </w:t>
      </w:r>
      <w:r w:rsidR="002F5445" w:rsidRPr="00B3061E">
        <w:rPr>
          <w:rFonts w:ascii="Times New Roman" w:hAnsi="Times New Roman" w:cs="Times New Roman"/>
          <w:sz w:val="24"/>
          <w:szCs w:val="24"/>
        </w:rPr>
        <w:t>ноябр</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0"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0"/>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B3061E" w:rsidRPr="00207F3F" w:rsidRDefault="00B3061E" w:rsidP="0064230F">
      <w:pPr>
        <w:spacing w:after="0" w:line="240" w:lineRule="auto"/>
        <w:ind w:firstLine="567"/>
        <w:jc w:val="both"/>
        <w:rPr>
          <w:rFonts w:ascii="Times New Roman" w:eastAsia="Consolas" w:hAnsi="Times New Roman" w:cs="Times New Roman"/>
          <w:b/>
          <w:color w:val="000000"/>
          <w:sz w:val="24"/>
          <w:szCs w:val="24"/>
        </w:rPr>
      </w:pPr>
      <w:r w:rsidRPr="00B3061E">
        <w:rPr>
          <w:rFonts w:ascii="Times New Roman" w:eastAsia="Consolas" w:hAnsi="Times New Roman" w:cs="Times New Roman"/>
          <w:b/>
          <w:color w:val="000000"/>
          <w:sz w:val="24"/>
          <w:szCs w:val="24"/>
        </w:rPr>
        <w:t>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bookmarkStart w:id="2" w:name="_GoBack"/>
      <w:bookmarkEnd w:id="2"/>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w:t>
      </w:r>
      <w:r w:rsidRPr="00207F3F">
        <w:rPr>
          <w:rFonts w:ascii="Times New Roman" w:eastAsia="Consolas" w:hAnsi="Times New Roman" w:cs="Times New Roman"/>
          <w:color w:val="000000"/>
          <w:sz w:val="24"/>
          <w:szCs w:val="24"/>
        </w:rPr>
        <w:lastRenderedPageBreak/>
        <w:t>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22" w:rsidRDefault="00874422" w:rsidP="00397971">
      <w:pPr>
        <w:spacing w:after="0" w:line="240" w:lineRule="auto"/>
      </w:pPr>
      <w:r>
        <w:separator/>
      </w:r>
    </w:p>
  </w:endnote>
  <w:endnote w:type="continuationSeparator" w:id="0">
    <w:p w:rsidR="00874422" w:rsidRDefault="0087442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22" w:rsidRDefault="00874422" w:rsidP="00397971">
      <w:pPr>
        <w:spacing w:after="0" w:line="240" w:lineRule="auto"/>
      </w:pPr>
      <w:r>
        <w:separator/>
      </w:r>
    </w:p>
  </w:footnote>
  <w:footnote w:type="continuationSeparator" w:id="0">
    <w:p w:rsidR="00874422" w:rsidRDefault="0087442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2E8"/>
    <w:rsid w:val="000B7353"/>
    <w:rsid w:val="000C06C9"/>
    <w:rsid w:val="000D09A4"/>
    <w:rsid w:val="000D2CEB"/>
    <w:rsid w:val="000F4DFF"/>
    <w:rsid w:val="000F7C67"/>
    <w:rsid w:val="00101123"/>
    <w:rsid w:val="001219A0"/>
    <w:rsid w:val="001442B2"/>
    <w:rsid w:val="001600BE"/>
    <w:rsid w:val="00184990"/>
    <w:rsid w:val="00192AC4"/>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2F5445"/>
    <w:rsid w:val="00313776"/>
    <w:rsid w:val="00322D31"/>
    <w:rsid w:val="003251CC"/>
    <w:rsid w:val="003348E8"/>
    <w:rsid w:val="00360DF0"/>
    <w:rsid w:val="003648F7"/>
    <w:rsid w:val="00366F11"/>
    <w:rsid w:val="0036785B"/>
    <w:rsid w:val="00397971"/>
    <w:rsid w:val="003A0439"/>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C0245"/>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70462"/>
    <w:rsid w:val="0087442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061E"/>
    <w:rsid w:val="00B32932"/>
    <w:rsid w:val="00B34F3C"/>
    <w:rsid w:val="00B464E2"/>
    <w:rsid w:val="00B4741B"/>
    <w:rsid w:val="00B53E6E"/>
    <w:rsid w:val="00B73298"/>
    <w:rsid w:val="00B74712"/>
    <w:rsid w:val="00B818AA"/>
    <w:rsid w:val="00BA018F"/>
    <w:rsid w:val="00BA6738"/>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1589"/>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30DA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21EB"/>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2885</Words>
  <Characters>16450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12</cp:revision>
  <cp:lastPrinted>2021-05-28T10:02:00Z</cp:lastPrinted>
  <dcterms:created xsi:type="dcterms:W3CDTF">2021-05-06T02:25:00Z</dcterms:created>
  <dcterms:modified xsi:type="dcterms:W3CDTF">2021-11-12T10:24:00Z</dcterms:modified>
</cp:coreProperties>
</file>