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50DD4" w:rsidRPr="00EC2DB9">
        <w:t xml:space="preserve">Приобретение </w:t>
      </w:r>
      <w:r w:rsidR="00250DD4" w:rsidRPr="00EC2DB9">
        <w:rPr>
          <w:lang w:val="kk-KZ"/>
        </w:rPr>
        <w:t>медицинских изделий</w:t>
      </w:r>
      <w:r w:rsidR="00250DD4">
        <w:rPr>
          <w:lang w:val="kk-KZ"/>
        </w:rPr>
        <w:t xml:space="preserve"> для иммуногистохимии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444086">
        <w:rPr>
          <w:bCs/>
          <w:color w:val="000000"/>
        </w:rPr>
        <w:t>3</w:t>
      </w:r>
      <w:r w:rsidR="00250DD4">
        <w:rPr>
          <w:bCs/>
          <w:color w:val="000000"/>
          <w:lang w:val="en-US"/>
        </w:rPr>
        <w:t>8</w:t>
      </w:r>
      <w:r w:rsidR="008A556C" w:rsidRPr="003F2CCF">
        <w:rPr>
          <w:bCs/>
          <w:color w:val="000000"/>
        </w:rPr>
        <w:t xml:space="preserve"> от </w:t>
      </w:r>
      <w:r w:rsidR="00250DD4">
        <w:rPr>
          <w:bCs/>
          <w:color w:val="000000"/>
          <w:lang w:val="en-US"/>
        </w:rPr>
        <w:t>1</w:t>
      </w:r>
      <w:r w:rsidR="00444086">
        <w:rPr>
          <w:bCs/>
          <w:color w:val="000000"/>
        </w:rPr>
        <w:t>2</w:t>
      </w:r>
      <w:r w:rsidR="00E937AF">
        <w:rPr>
          <w:bCs/>
          <w:color w:val="000000"/>
        </w:rPr>
        <w:t>.0</w:t>
      </w:r>
      <w:r w:rsidR="00250DD4">
        <w:rPr>
          <w:bCs/>
          <w:color w:val="000000"/>
          <w:lang w:val="en-US"/>
        </w:rPr>
        <w:t>5</w:t>
      </w:r>
      <w:r w:rsidR="008A556C" w:rsidRPr="003F2CCF">
        <w:rPr>
          <w:bCs/>
          <w:color w:val="000000"/>
        </w:rPr>
        <w:t>.20</w:t>
      </w:r>
      <w:r w:rsidR="00434FDC">
        <w:rPr>
          <w:bCs/>
          <w:color w:val="000000"/>
        </w:rPr>
        <w:t>21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49"/>
        <w:gridCol w:w="4549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5257BC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34FDC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5257BC">
              <w:rPr>
                <w:b/>
                <w:lang w:val="en-US"/>
              </w:rPr>
              <w:t>0</w:t>
            </w:r>
            <w:r w:rsidR="005257BC">
              <w:rPr>
                <w:b/>
              </w:rPr>
              <w:t>1</w:t>
            </w:r>
            <w:r w:rsidR="00E937AF">
              <w:rPr>
                <w:b/>
              </w:rPr>
              <w:t>.0</w:t>
            </w:r>
            <w:r w:rsidR="005257BC">
              <w:rPr>
                <w:b/>
                <w:lang w:val="en-US"/>
              </w:rPr>
              <w:t>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</w:t>
            </w:r>
            <w:r w:rsidR="00434FDC">
              <w:rPr>
                <w:b/>
              </w:rPr>
              <w:t>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30"/>
        <w:gridCol w:w="2551"/>
        <w:gridCol w:w="748"/>
        <w:gridCol w:w="708"/>
        <w:gridCol w:w="1276"/>
        <w:gridCol w:w="1559"/>
      </w:tblGrid>
      <w:tr w:rsidR="00710AA6" w:rsidRPr="00710AA6" w:rsidTr="00E86E84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Техническая спецификация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Ед.изм</w:t>
            </w:r>
            <w:proofErr w:type="spellEnd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710AA6" w:rsidRPr="00710AA6" w:rsidTr="00E86E84">
        <w:trPr>
          <w:trHeight w:val="242"/>
        </w:trPr>
        <w:tc>
          <w:tcPr>
            <w:tcW w:w="96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Медицинские изделия для </w:t>
            </w:r>
            <w:proofErr w:type="spellStart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иммуногистохимии</w:t>
            </w:r>
            <w:proofErr w:type="spellEnd"/>
          </w:p>
        </w:tc>
      </w:tr>
      <w:tr w:rsidR="00710AA6" w:rsidRPr="00710AA6" w:rsidTr="00E86E84">
        <w:trPr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CD45, LCA, Clone 2B11+PD7/26,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CD45, LCA, Клон 2В11+РD7/26,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Automated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Platforms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Breast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GastricИммуногистохимический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для определения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сверхэкспресии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на 50 определений,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совместимый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 (флаконы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2 995 900,00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5 991 800,00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Mouse, X-Hu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Progest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Recept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Clone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636,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Рецептору Прогестерона, Клон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636,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834 960,00</w:t>
            </w:r>
          </w:p>
        </w:tc>
      </w:tr>
      <w:tr w:rsidR="00710AA6" w:rsidRPr="00710AA6" w:rsidTr="00E86E84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Ki-67 Antigen, 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Clone MIB-1,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Ki-67 Антигену, Клон MIB-1,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FLEX,готовые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 xml:space="preserve">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648 750,00</w:t>
            </w:r>
          </w:p>
        </w:tc>
      </w:tr>
      <w:tr w:rsidR="00710AA6" w:rsidRPr="00710AA6" w:rsidTr="00E86E84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CD20cy, Clone L26,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CD20су, Клон L26,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X-H CD5 Clone 4C7,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СD5, Клон 4С7,FLEX,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Estrogen Receptor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α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1D5,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834 960,00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CD246, ALK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ALK1,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Ready-to-Use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CD246,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клон ALK1,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 xml:space="preserve">Наличие маркировки IVD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FLEX,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High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)Система визуализации 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FLEX+, Высокий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Система визуализации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FLEX+, Высокий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400-600 тестов,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совместимая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2 866 500,00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5 733 000,00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CA 125, Clone M11,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СА 125, Клон М11,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CD23, Clone DAK-CD23,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CD23, Клон DAK-CD23,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 Target Retrieval Solution, Low pH (50x)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pH (50x)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Наличие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маркировки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IVD CE.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Регистрация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в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Республике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499 800,00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999 600,00</w:t>
            </w:r>
          </w:p>
        </w:tc>
      </w:tr>
      <w:tr w:rsidR="00710AA6" w:rsidRPr="00710AA6" w:rsidTr="00E86E84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Vimentin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V9,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Виментину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Клон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V9,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Synaptophysin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DAK-SYNAP,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Синаптофизину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DAK-SYNAP,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p63 Protein, Clone DAK-p63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p63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DAK-p63, 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TTF, TTF-1Clone 8G7G3/1, RTU,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br w:type="page"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Тиреоидному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Фактору Транскрипции, клон 8G7G3/1,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 w:type="page"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Hu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Cytokeratin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7,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OV-TL 12/30, RTU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Цитокератин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7, клон OV-TL 12/30, Готовые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Prostate-Specific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Membrane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Antigen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3E6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Простат-Специфичный Мембранный Антиген, клон 3E6 , Готовые к применению, ФЛЕКС, Линк,12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FLEX Monoclonal Mo a Hu Cytokeratin, Clone AE1/AE3, RTU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 Чел.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Цитокератину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 Клон  AE1/AE3, FLEX, готовые к использованию(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324 375,00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473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- это среда с низкой вязкостью и быстрой сушкой, предназначенная для использования с покровным стеклом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Glass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>Поставляется в прозрачных пластиковых бутылях с узким горлом,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готов к использованию и подходит для использования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Pегистрация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21 000,00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210 000,00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Hematoxylin,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Готовые к использованию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бутыля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доступная только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Казахстан.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223 150,00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1 562 050,00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Cover Glass,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5 x 200 pcs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Поставляются в двойных вертикальных пластиковых контейнерах по 200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в каждом. имеют особую пластичность, степень гибкости для работы 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 вакуумным держателем</w:t>
            </w:r>
            <w:proofErr w:type="gram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и единственные рекомендованные для использования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207 425,00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4 148 500,00</w:t>
            </w:r>
          </w:p>
        </w:tc>
      </w:tr>
      <w:tr w:rsidR="00710AA6" w:rsidRPr="00710AA6" w:rsidTr="00E86E84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Eosin,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Готовые к использованию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бутыля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доступная только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219 475,00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1 755 800,00</w:t>
            </w:r>
          </w:p>
        </w:tc>
      </w:tr>
      <w:tr w:rsidR="00710AA6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(1л)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A6" w:rsidRPr="00710AA6" w:rsidRDefault="00710AA6" w:rsidP="00710AA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LinkUp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6000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tests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1 L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163 325,00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AA6" w:rsidRPr="00710AA6" w:rsidRDefault="00710AA6" w:rsidP="00710AA6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1 469 925,00</w:t>
            </w:r>
          </w:p>
        </w:tc>
      </w:tr>
      <w:tr w:rsidR="00710AA6" w:rsidRPr="00710AA6" w:rsidTr="00E86E84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 сумма закупа: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AA6" w:rsidRPr="00710AA6" w:rsidRDefault="00710AA6" w:rsidP="00710AA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28 406 220,00</w:t>
            </w:r>
          </w:p>
        </w:tc>
      </w:tr>
    </w:tbl>
    <w:p w:rsidR="008A556C" w:rsidRPr="003F2CCF" w:rsidRDefault="008A556C" w:rsidP="003F2CCF">
      <w:pPr>
        <w:ind w:right="-285"/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704AE3" w:rsidRPr="004B6541">
        <w:t xml:space="preserve">28 406 220,00 </w:t>
      </w:r>
      <w:r w:rsidR="00704AE3" w:rsidRPr="00EC2DB9">
        <w:t>(</w:t>
      </w:r>
      <w:r w:rsidR="00704AE3">
        <w:t xml:space="preserve">двадцать восемь миллионов четыреста шесть тысяч двести двадцать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ind w:right="-285"/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C74E6" w:rsidRPr="003F2CCF" w:rsidRDefault="000A4756" w:rsidP="007C74E6">
      <w:pPr>
        <w:ind w:right="-285"/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</w:rPr>
        <w:t>Виста Мед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Алматы, </w:t>
      </w:r>
      <w:proofErr w:type="spellStart"/>
      <w:r>
        <w:rPr>
          <w:color w:val="000000"/>
        </w:rPr>
        <w:t>мкр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Алмас</w:t>
      </w:r>
      <w:proofErr w:type="spellEnd"/>
      <w:r>
        <w:rPr>
          <w:color w:val="000000"/>
        </w:rPr>
        <w:t>, д.16</w:t>
      </w:r>
      <w:r w:rsidRPr="000A4756">
        <w:rPr>
          <w:color w:val="000000"/>
        </w:rPr>
        <w:t xml:space="preserve"> </w:t>
      </w:r>
      <w:r w:rsidR="005A54C7" w:rsidRPr="003F2CCF">
        <w:rPr>
          <w:color w:val="000000"/>
        </w:rPr>
        <w:t xml:space="preserve">– </w:t>
      </w:r>
      <w:r w:rsidRPr="000A4756">
        <w:rPr>
          <w:color w:val="000000"/>
        </w:rPr>
        <w:t>26</w:t>
      </w:r>
      <w:r w:rsidR="005A54C7">
        <w:rPr>
          <w:color w:val="000000"/>
        </w:rPr>
        <w:t>.0</w:t>
      </w:r>
      <w:r w:rsidR="006F4221">
        <w:rPr>
          <w:color w:val="000000"/>
        </w:rPr>
        <w:t>5</w:t>
      </w:r>
      <w:r w:rsidR="005A54C7" w:rsidRPr="003F2CCF">
        <w:rPr>
          <w:color w:val="000000"/>
        </w:rPr>
        <w:t>.202</w:t>
      </w:r>
      <w:r w:rsidR="00583695">
        <w:rPr>
          <w:color w:val="000000"/>
        </w:rPr>
        <w:t>1</w:t>
      </w:r>
      <w:r w:rsidR="005A54C7" w:rsidRPr="003F2CCF">
        <w:rPr>
          <w:color w:val="000000"/>
        </w:rPr>
        <w:t xml:space="preserve">г. в </w:t>
      </w:r>
      <w:r w:rsidR="005A54C7">
        <w:rPr>
          <w:color w:val="000000"/>
        </w:rPr>
        <w:t>1</w:t>
      </w:r>
      <w:r w:rsidR="006F4221">
        <w:rPr>
          <w:color w:val="000000"/>
        </w:rPr>
        <w:t>5.2</w:t>
      </w:r>
      <w:r w:rsidRPr="000A4756">
        <w:rPr>
          <w:color w:val="000000"/>
        </w:rPr>
        <w:t>8</w:t>
      </w:r>
      <w:r w:rsidR="005A54C7" w:rsidRPr="003F2CCF">
        <w:rPr>
          <w:color w:val="000000"/>
        </w:rPr>
        <w:t xml:space="preserve"> часов, предоставлены: разрешительные документы;</w:t>
      </w:r>
      <w:r w:rsidR="005A54C7" w:rsidRPr="003F2CCF">
        <w:t xml:space="preserve"> </w:t>
      </w:r>
      <w:r w:rsidR="005A54C7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5A54C7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5A54C7">
        <w:rPr>
          <w:color w:val="000000"/>
        </w:rPr>
        <w:t xml:space="preserve">, </w:t>
      </w:r>
      <w:r w:rsidR="005A54C7" w:rsidRPr="00E937AF">
        <w:rPr>
          <w:color w:val="000000"/>
        </w:rPr>
        <w:t xml:space="preserve">не </w:t>
      </w:r>
      <w:r w:rsidR="005A54C7">
        <w:rPr>
          <w:color w:val="000000"/>
        </w:rPr>
        <w:t>имеет</w:t>
      </w:r>
      <w:r w:rsidR="005A54C7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5A54C7">
        <w:rPr>
          <w:color w:val="000000"/>
        </w:rPr>
        <w:t xml:space="preserve"> </w:t>
      </w:r>
      <w:r w:rsidR="005A54C7" w:rsidRPr="003F2CCF">
        <w:rPr>
          <w:color w:val="000000"/>
        </w:rPr>
        <w:t>(справка с налогового органа об отсутствии задолженности</w:t>
      </w:r>
      <w:r w:rsidR="005A54C7">
        <w:rPr>
          <w:color w:val="000000"/>
        </w:rPr>
        <w:t>, справка с банка</w:t>
      </w:r>
      <w:r w:rsidR="005A54C7" w:rsidRPr="003F2CCF">
        <w:rPr>
          <w:color w:val="000000"/>
        </w:rPr>
        <w:t xml:space="preserve"> приложен</w:t>
      </w:r>
      <w:r w:rsidR="005A54C7">
        <w:rPr>
          <w:color w:val="000000"/>
        </w:rPr>
        <w:t>ы</w:t>
      </w:r>
      <w:r w:rsidR="005A54C7" w:rsidRPr="003F2CCF">
        <w:rPr>
          <w:color w:val="000000"/>
        </w:rPr>
        <w:t>)</w:t>
      </w:r>
      <w:r w:rsidR="005A54C7">
        <w:rPr>
          <w:color w:val="000000"/>
        </w:rPr>
        <w:t xml:space="preserve">, </w:t>
      </w:r>
      <w:r w:rsidR="005A54C7" w:rsidRPr="00E937AF">
        <w:rPr>
          <w:color w:val="000000"/>
        </w:rPr>
        <w:t xml:space="preserve">не </w:t>
      </w:r>
      <w:r w:rsidR="005A54C7">
        <w:rPr>
          <w:color w:val="000000"/>
        </w:rPr>
        <w:t>признан</w:t>
      </w:r>
      <w:r w:rsidR="005A54C7" w:rsidRPr="00E937AF">
        <w:rPr>
          <w:color w:val="000000"/>
        </w:rPr>
        <w:t xml:space="preserve"> судом недобросовестным по настоящим Правилам;</w:t>
      </w:r>
      <w:r w:rsidR="005A54C7">
        <w:rPr>
          <w:color w:val="000000"/>
        </w:rPr>
        <w:t xml:space="preserve"> </w:t>
      </w:r>
      <w:r w:rsidR="005A54C7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5A54C7">
        <w:rPr>
          <w:color w:val="000000"/>
        </w:rPr>
        <w:t>нарушает</w:t>
      </w:r>
      <w:r w:rsidR="005A54C7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5A54C7">
        <w:rPr>
          <w:color w:val="000000"/>
        </w:rPr>
        <w:t>х средств и медицинских изделий</w:t>
      </w:r>
      <w:r w:rsidR="005A54C7" w:rsidRPr="003F2CCF">
        <w:rPr>
          <w:color w:val="000000"/>
        </w:rPr>
        <w:t>.</w:t>
      </w:r>
    </w:p>
    <w:p w:rsidR="00B43148" w:rsidRPr="003F2CCF" w:rsidRDefault="008A556C" w:rsidP="00E255BD">
      <w:pPr>
        <w:tabs>
          <w:tab w:val="left" w:pos="284"/>
        </w:tabs>
        <w:ind w:right="-285"/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551"/>
      </w:tblGrid>
      <w:tr w:rsidR="00D24B80" w:rsidRPr="003F2CCF" w:rsidTr="00D24B8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80" w:rsidRPr="003F2CCF" w:rsidRDefault="00D24B80" w:rsidP="00E86E84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80" w:rsidRPr="003F2CCF" w:rsidRDefault="00D24B80" w:rsidP="00E86E84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80" w:rsidRPr="003F2CCF" w:rsidRDefault="00D24B80" w:rsidP="00E86E8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043F1A">
              <w:rPr>
                <w:b/>
                <w:color w:val="000000"/>
              </w:rPr>
              <w:t>Виста Мед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D96111" w:rsidRPr="003F2CCF" w:rsidTr="00984CBA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CD45, LCA, Clone 2B11+PD7/26,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CD45, LCA, Клон 2В11+РD7/26,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Automated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Platforms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Breast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GastricИммуногистохимический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для определения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сверхэкспресии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2 995 900,00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Mouse, X-Hu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Progest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Recept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Clone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636,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Рецептору Прогестерона, Клон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636,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417 480,00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Ki-67 Antigen, Clone MIB-1,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Ki-67 Антигену, Клон MIB-1,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FLEX,готовые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CD20cy, Clone L26,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CD20су, Клон L26,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X-H CD5 Clone 4C7,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СD5, Клон 4С7,FLEX,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Estrogen Receptor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α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1D5,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417 480,00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3F2CCF" w:rsidRDefault="00D96111" w:rsidP="00D961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CD246, ALK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ALK1,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Ready-to-Use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CD246, клон ALK1,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FLEX, High pH, (Link)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Система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визуализации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FLEX+,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Высокий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pH,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2 866 500,00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CA 125, Clone M11,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СА 125, Клон М11,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CD23, Clone DAK-CD23,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CD23, Клон DAK-CD23,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 Target Retrieval Solution, Low pH (50x)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499 800,00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Vimentin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V9,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Виментину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V9,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Synaptophysin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DAK-SYNAP,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Синаптофизину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DAK-SYNAP,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3F2CCF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p63 Protein, Clone DAK-p63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p63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DAK-p63, 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Mouse, Anti TTF, TTF-1Clone 8G7G3/1, RTU, Link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 w:type="page"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Тиреоидному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Фактору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Транскрипции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8G7G3/1,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12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Cytokeratin 7, Clone OV-TL 12/30, RTU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человеческим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Цитокератин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7,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OV-TL 12/30,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lastRenderedPageBreak/>
              <w:t xml:space="preserve">              324 375,00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Anti-Human Prostate-Specific Membrane Antigen, Clone 3E6 (Link)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человеческим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Простат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Специфичный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Мембранный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Антиген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3E6 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,12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A00D1B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FLEX Monoclonal Mo a Hu Cytokeratin, Clone AE1/AE3, RTU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 Чел.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Цитокератину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 Клон  AE1/AE3, FLEX, готовые к использованию(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D96111" w:rsidRPr="00A00D1B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473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  21 000,00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Pr="0070400B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Hematoxylin,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223 150,00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Cover Glass,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5 x 200 pcs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207 425,00   </w:t>
            </w:r>
          </w:p>
        </w:tc>
      </w:tr>
      <w:tr w:rsidR="00D96111" w:rsidRPr="00F1774D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Eosin,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219 475,00   </w:t>
            </w:r>
          </w:p>
        </w:tc>
      </w:tr>
      <w:tr w:rsidR="00D96111" w:rsidRPr="00A00D1B" w:rsidTr="00984CB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11" w:rsidRDefault="00D96111" w:rsidP="00D9611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111" w:rsidRPr="00710AA6" w:rsidRDefault="00D96111" w:rsidP="00D9611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(1л)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6111" w:rsidRPr="00D96111" w:rsidRDefault="00D96111" w:rsidP="00D96111">
            <w:pPr>
              <w:jc w:val="center"/>
            </w:pPr>
            <w:r w:rsidRPr="00D96111">
              <w:t xml:space="preserve">              163 325,00   </w:t>
            </w:r>
          </w:p>
        </w:tc>
      </w:tr>
    </w:tbl>
    <w:p w:rsidR="0055039E" w:rsidRPr="003F2CCF" w:rsidRDefault="00D377C2" w:rsidP="00E255BD">
      <w:pPr>
        <w:tabs>
          <w:tab w:val="left" w:pos="142"/>
          <w:tab w:val="left" w:pos="426"/>
        </w:tabs>
        <w:rPr>
          <w:color w:val="000000"/>
        </w:rPr>
      </w:pPr>
      <w:bookmarkStart w:id="0" w:name="_GoBack"/>
      <w:bookmarkEnd w:id="0"/>
      <w:r w:rsidRPr="003F2CCF">
        <w:rPr>
          <w:color w:val="000000"/>
        </w:rPr>
        <w:t xml:space="preserve">4. </w:t>
      </w:r>
      <w:r w:rsidR="00E255BD" w:rsidRPr="00E255BD">
        <w:rPr>
          <w:color w:val="000000"/>
        </w:rPr>
        <w:t xml:space="preserve">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6F4221" w:rsidP="003F2CCF">
      <w:pPr>
        <w:rPr>
          <w:color w:val="000000"/>
        </w:rPr>
      </w:pPr>
      <w:r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B01A9D" w:rsidRDefault="00B01A9D" w:rsidP="00B01A9D">
      <w:pPr>
        <w:jc w:val="both"/>
      </w:pPr>
    </w:p>
    <w:p w:rsidR="00B01A9D" w:rsidRDefault="00B01A9D" w:rsidP="00B01A9D">
      <w:pPr>
        <w:jc w:val="both"/>
      </w:pPr>
    </w:p>
    <w:p w:rsidR="00D24B80" w:rsidRPr="00D24B80" w:rsidRDefault="00D24B80" w:rsidP="00D24B80">
      <w:pPr>
        <w:ind w:right="-285"/>
        <w:jc w:val="both"/>
        <w:rPr>
          <w:rFonts w:eastAsiaTheme="minorHAnsi"/>
          <w:b/>
          <w:sz w:val="22"/>
          <w:szCs w:val="22"/>
          <w:lang w:eastAsia="en-US"/>
        </w:rPr>
      </w:pPr>
      <w:r w:rsidRPr="00D24B80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  <w:t xml:space="preserve">      </w:t>
      </w:r>
      <w:r w:rsidRPr="00D24B80">
        <w:rPr>
          <w:rFonts w:eastAsiaTheme="minorHAnsi"/>
          <w:b/>
          <w:sz w:val="22"/>
          <w:szCs w:val="22"/>
          <w:lang w:eastAsia="en-US"/>
        </w:rPr>
        <w:t xml:space="preserve">          </w:t>
      </w:r>
      <w:proofErr w:type="spellStart"/>
      <w:r w:rsidRPr="00D24B80">
        <w:rPr>
          <w:rFonts w:eastAsiaTheme="minorHAnsi"/>
          <w:b/>
          <w:sz w:val="22"/>
          <w:szCs w:val="22"/>
          <w:lang w:eastAsia="en-US"/>
        </w:rPr>
        <w:t>Чертищева</w:t>
      </w:r>
      <w:proofErr w:type="spellEnd"/>
      <w:r w:rsidRPr="00D24B80">
        <w:rPr>
          <w:rFonts w:eastAsiaTheme="minorHAnsi"/>
          <w:b/>
          <w:sz w:val="22"/>
          <w:szCs w:val="22"/>
          <w:lang w:eastAsia="en-US"/>
        </w:rPr>
        <w:t xml:space="preserve"> И.Л.</w:t>
      </w:r>
    </w:p>
    <w:p w:rsidR="00D24B80" w:rsidRPr="00D24B80" w:rsidRDefault="00D24B80" w:rsidP="00D24B80">
      <w:pPr>
        <w:ind w:right="-285"/>
        <w:jc w:val="both"/>
        <w:rPr>
          <w:rFonts w:eastAsiaTheme="minorHAnsi"/>
          <w:b/>
          <w:sz w:val="22"/>
          <w:szCs w:val="22"/>
          <w:lang w:eastAsia="en-US"/>
        </w:rPr>
      </w:pP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</w:t>
      </w:r>
      <w:r w:rsidRPr="00D24B80">
        <w:rPr>
          <w:rFonts w:eastAsiaTheme="minorHAnsi"/>
          <w:sz w:val="22"/>
          <w:szCs w:val="22"/>
          <w:lang w:eastAsia="en-US"/>
        </w:rPr>
        <w:t xml:space="preserve">   </w:t>
      </w:r>
      <w:r w:rsidRPr="00D24B80">
        <w:rPr>
          <w:rFonts w:eastAsiaTheme="minorHAnsi"/>
          <w:sz w:val="22"/>
          <w:szCs w:val="22"/>
          <w:lang w:eastAsia="en-US"/>
        </w:rPr>
        <w:t xml:space="preserve"> Нургалиева А.Т.</w:t>
      </w: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>Члены комиссии:</w:t>
      </w:r>
    </w:p>
    <w:p w:rsidR="00D24B80" w:rsidRPr="00D24B80" w:rsidRDefault="00D24B80" w:rsidP="00D24B80">
      <w:pPr>
        <w:ind w:right="-285"/>
        <w:jc w:val="both"/>
        <w:rPr>
          <w:sz w:val="22"/>
          <w:szCs w:val="22"/>
        </w:rPr>
      </w:pPr>
      <w:r w:rsidRPr="00D24B80">
        <w:rPr>
          <w:sz w:val="22"/>
          <w:szCs w:val="22"/>
        </w:rPr>
        <w:t>Тулебаева Д.К.</w:t>
      </w: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D24B80">
        <w:rPr>
          <w:rFonts w:eastAsiaTheme="minorHAnsi"/>
          <w:sz w:val="22"/>
          <w:szCs w:val="22"/>
          <w:lang w:eastAsia="en-US"/>
        </w:rPr>
        <w:t>Есмуратова</w:t>
      </w:r>
      <w:proofErr w:type="spellEnd"/>
      <w:r w:rsidRPr="00D24B80">
        <w:rPr>
          <w:rFonts w:eastAsiaTheme="minorHAnsi"/>
          <w:sz w:val="22"/>
          <w:szCs w:val="22"/>
          <w:lang w:eastAsia="en-US"/>
        </w:rPr>
        <w:t xml:space="preserve"> М.Т.</w:t>
      </w: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>Советов Н.А.</w:t>
      </w: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D24B80" w:rsidRPr="00D24B80" w:rsidRDefault="00D24B80" w:rsidP="00D24B80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  <w:t xml:space="preserve">    </w:t>
      </w:r>
      <w:r>
        <w:rPr>
          <w:rFonts w:eastAsiaTheme="minorHAnsi"/>
          <w:sz w:val="22"/>
          <w:szCs w:val="22"/>
          <w:lang w:val="en-US" w:eastAsia="en-US"/>
        </w:rPr>
        <w:t xml:space="preserve">              </w:t>
      </w:r>
      <w:r w:rsidRPr="00D24B80"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 w:rsidSect="00E25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6FA"/>
    <w:rsid w:val="000A4756"/>
    <w:rsid w:val="00144E82"/>
    <w:rsid w:val="001E0FE4"/>
    <w:rsid w:val="00244D6E"/>
    <w:rsid w:val="00250DD4"/>
    <w:rsid w:val="002547B7"/>
    <w:rsid w:val="003830BD"/>
    <w:rsid w:val="003F2CCF"/>
    <w:rsid w:val="00417BC7"/>
    <w:rsid w:val="00434FDC"/>
    <w:rsid w:val="00444086"/>
    <w:rsid w:val="004E536F"/>
    <w:rsid w:val="005257BC"/>
    <w:rsid w:val="00526641"/>
    <w:rsid w:val="005400BA"/>
    <w:rsid w:val="0055039E"/>
    <w:rsid w:val="00583695"/>
    <w:rsid w:val="0059233F"/>
    <w:rsid w:val="005A54C7"/>
    <w:rsid w:val="005D453F"/>
    <w:rsid w:val="0068612A"/>
    <w:rsid w:val="006A6DAE"/>
    <w:rsid w:val="006F4221"/>
    <w:rsid w:val="0070400B"/>
    <w:rsid w:val="00704AE3"/>
    <w:rsid w:val="00710AA6"/>
    <w:rsid w:val="00711D2C"/>
    <w:rsid w:val="0075072C"/>
    <w:rsid w:val="007A5182"/>
    <w:rsid w:val="007C74E6"/>
    <w:rsid w:val="008A556C"/>
    <w:rsid w:val="008C2BEA"/>
    <w:rsid w:val="00995A88"/>
    <w:rsid w:val="00A20466"/>
    <w:rsid w:val="00A74CB3"/>
    <w:rsid w:val="00AE786F"/>
    <w:rsid w:val="00B01A9D"/>
    <w:rsid w:val="00B3256B"/>
    <w:rsid w:val="00B34726"/>
    <w:rsid w:val="00B43148"/>
    <w:rsid w:val="00B77306"/>
    <w:rsid w:val="00B9187A"/>
    <w:rsid w:val="00CD3AC7"/>
    <w:rsid w:val="00D13123"/>
    <w:rsid w:val="00D15ED9"/>
    <w:rsid w:val="00D208EB"/>
    <w:rsid w:val="00D24B80"/>
    <w:rsid w:val="00D377C2"/>
    <w:rsid w:val="00D51782"/>
    <w:rsid w:val="00D81307"/>
    <w:rsid w:val="00D96111"/>
    <w:rsid w:val="00D9719D"/>
    <w:rsid w:val="00E14110"/>
    <w:rsid w:val="00E255BD"/>
    <w:rsid w:val="00E76F51"/>
    <w:rsid w:val="00E937AF"/>
    <w:rsid w:val="00EB55B9"/>
    <w:rsid w:val="00F1774D"/>
    <w:rsid w:val="00F569EE"/>
    <w:rsid w:val="00FA27EC"/>
    <w:rsid w:val="00FD7A7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004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2020-02-25T14:47:00Z</cp:lastPrinted>
  <dcterms:created xsi:type="dcterms:W3CDTF">2021-06-10T07:21:00Z</dcterms:created>
  <dcterms:modified xsi:type="dcterms:W3CDTF">2021-06-10T07:55:00Z</dcterms:modified>
</cp:coreProperties>
</file>